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before="1200"/>
        <w:jc w:val="center"/>
      </w:pPr>
      <w:r>
        <w:rPr>
          <w:rFonts w:ascii="Arial" w:cs="Arial" w:eastAsia="Arial" w:hAnsi="Arial"/>
          <w:b/>
          <w:bCs/>
          <w:color w:val="1F4E79"/>
          <w:sz w:val="96"/>
          <w:szCs w:val="96"/>
        </w:rPr>
        <w:t xml:space="preserve">DOSD</w:t>
      </w:r>
    </w:p>
    <w:p>
      <w:pPr>
        <w:spacing w:after="160" w:before="0"/>
        <w:jc w:val="center"/>
      </w:pPr>
      <w:r>
        <w:rPr>
          <w:rFonts w:ascii="Arial" w:cs="Arial" w:eastAsia="Arial" w:hAnsi="Arial"/>
          <w:color w:val="2E75B6"/>
          <w:sz w:val="36"/>
          <w:szCs w:val="36"/>
        </w:rPr>
        <w:t xml:space="preserve">Domain Operational Standing Declaration</w:t>
      </w:r>
    </w:p>
    <w:p>
      <w:pPr>
        <w:spacing w:after="80" w:before="0"/>
        <w:jc w:val="center"/>
      </w:pPr>
      <w:r>
        <w:rPr>
          <w:rFonts w:ascii="Arial" w:cs="Arial" w:eastAsia="Arial" w:hAnsi="Arial"/>
          <w:i/>
          <w:iCs/>
          <w:color w:val="888888"/>
          <w:sz w:val="24"/>
          <w:szCs w:val="24"/>
        </w:rPr>
        <w:t xml:space="preserve">Community Review Draft  |  Version 3</w:t>
      </w:r>
    </w:p>
    <w:p>
      <w:pPr>
        <w:pBdr>
          <w:bottom w:val="single" w:color="C8A951" w:sz="8" w:space="8"/>
        </w:pBdr>
        <w:spacing w:after="600" w:before="80"/>
        <w:jc w:val="center"/>
      </w:pPr>
      <w:r>
        <w:rPr>
          <w:rFonts w:ascii="Georgia" w:cs="Georgia" w:eastAsia="Georgia" w:hAnsi="Georgia"/>
          <w:i/>
          <w:iCs/>
          <w:color w:val="444444"/>
          <w:sz w:val="22"/>
          <w:szCs w:val="22"/>
        </w:rPr>
        <w:t xml:space="preserve">A Federated Civil Signaling Fabric for Peace, Truth, and Accountable Communication</w:t>
      </w:r>
    </w:p>
    <w:p>
      <w:r>
        <w:t xml:space="preserve"/>
      </w:r>
    </w:p>
    <w:p>
      <w:pPr>
        <w:pBdr>
          <w:left w:val="single" w:color="C8A951" w:sz="12" w:space="8"/>
        </w:pBdr>
        <w:spacing w:after="160" w:before="160"/>
        <w:ind w:left="720" w:right="720"/>
      </w:pPr>
      <w:r>
        <w:rPr>
          <w:rFonts w:ascii="Georgia" w:cs="Georgia" w:eastAsia="Georgia" w:hAnsi="Georgia"/>
          <w:i/>
          <w:iCs/>
          <w:color w:val="333333"/>
          <w:sz w:val="22"/>
          <w:szCs w:val="22"/>
        </w:rPr>
        <w:t xml:space="preserve">I enter this framework voluntarily, under the Standard of the Prudent Man — in truth, full disclosure, and good faith. I understand that my declarations are made on the record, under penalty of perjury, and that my silence is as binding as my words. I raise the white flag in peace, and I commit to coming to the table when it is raised for me.</w:t>
      </w:r>
    </w:p>
    <w:p>
      <w:r>
        <w:t xml:space="preserve"/>
      </w:r>
    </w:p>
    <w:p>
      <w:r>
        <w:t xml:space="preserve"/>
      </w:r>
    </w:p>
    <w:p>
      <w:pPr>
        <w:pStyle w:val="Heading1"/>
        <w:pBdr>
          <w:bottom w:val="single" w:color="2E75B6" w:sz="8" w:space="4"/>
        </w:pBdr>
        <w:spacing w:after="200" w:before="400"/>
      </w:pPr>
      <w:r>
        <w:rPr>
          <w:rFonts w:ascii="Arial" w:cs="Arial" w:eastAsia="Arial" w:hAnsi="Arial"/>
          <w:b/>
          <w:bCs/>
          <w:color w:val="1F4E79"/>
          <w:sz w:val="36"/>
          <w:szCs w:val="36"/>
        </w:rPr>
        <w:t xml:space="preserve">Part I: Core Concept and Purpose</w:t>
      </w:r>
    </w:p>
    <w:p>
      <w:pPr>
        <w:pStyle w:val="Heading2"/>
        <w:spacing w:after="160" w:before="320"/>
      </w:pPr>
      <w:r>
        <w:rPr>
          <w:rFonts w:ascii="Arial" w:cs="Arial" w:eastAsia="Arial" w:hAnsi="Arial"/>
          <w:b/>
          <w:bCs/>
          <w:color w:val="2E75B6"/>
          <w:sz w:val="28"/>
          <w:szCs w:val="28"/>
        </w:rPr>
        <w:t xml:space="preserve">1.1  What Is DOSD?</w:t>
      </w:r>
    </w:p>
    <w:p>
      <w:pPr>
        <w:spacing w:after="100" w:before="100"/>
      </w:pPr>
      <w:r>
        <w:rPr>
          <w:rFonts w:ascii="Arial" w:cs="Arial" w:eastAsia="Arial" w:hAnsi="Arial"/>
          <w:sz w:val="22"/>
          <w:szCs w:val="22"/>
        </w:rPr>
        <w:t xml:space="preserve">DOSD (Domain Operational Standing Declaration) is a voluntary DNS-based communication and accountability protocol providing governance declarations, provenance signaling, stewardship status, mediation routing, and peaceful operational signaling across the Internet.</w:t>
      </w:r>
    </w:p>
    <w:p>
      <w:pPr>
        <w:spacing w:after="100" w:before="100"/>
      </w:pPr>
      <w:r>
        <w:rPr>
          <w:rFonts w:ascii="Arial" w:cs="Arial" w:eastAsia="Arial" w:hAnsi="Arial"/>
          <w:sz w:val="22"/>
          <w:szCs w:val="22"/>
        </w:rPr>
        <w:t xml:space="preserve">DOSD does not determine ultimate truth, sovereignty, or legal legitimacy. DOSD provides the infrastructure through which truth can be discovered, published, verified, and acted upon freely by all participants.</w:t>
      </w:r>
    </w:p>
    <w:p>
      <w:pPr>
        <w:pStyle w:val="Heading2"/>
        <w:spacing w:after="160" w:before="320"/>
      </w:pPr>
      <w:r>
        <w:rPr>
          <w:rFonts w:ascii="Arial" w:cs="Arial" w:eastAsia="Arial" w:hAnsi="Arial"/>
          <w:b/>
          <w:bCs/>
          <w:color w:val="2E75B6"/>
          <w:sz w:val="28"/>
          <w:szCs w:val="28"/>
        </w:rPr>
        <w:t xml:space="preserve">1.2  The Central Innovation</w:t>
      </w:r>
    </w:p>
    <w:p>
      <w:pPr>
        <w:spacing w:after="100" w:before="100"/>
      </w:pPr>
      <w:r>
        <w:rPr>
          <w:rFonts w:ascii="Arial" w:cs="Arial" w:eastAsia="Arial" w:hAnsi="Arial"/>
          <w:sz w:val="22"/>
          <w:szCs w:val="22"/>
        </w:rPr>
        <w:t xml:space="preserve">The core innovation of DOSD is transparent, verified, consent-based, distributed mediation and stewardship signaling. It accomplishes this through two inseparable mechanisms:</w:t>
      </w:r>
    </w:p>
    <w:p>
      <w:pPr>
        <w:pStyle w:val="ListParagraph"/>
        <w:numPr>
          <w:ilvl w:val="0"/>
          <w:numId w:val="2"/>
        </w:numPr>
        <w:spacing w:after="60" w:before="60"/>
      </w:pPr>
      <w:r>
        <w:rPr>
          <w:rFonts w:ascii="Arial" w:cs="Arial" w:eastAsia="Arial" w:hAnsi="Arial"/>
          <w:sz w:val="22"/>
          <w:szCs w:val="22"/>
        </w:rPr>
        <w:t xml:space="preserve">A digital chain of truth — federated, hashed, timestamped, and publicly traversable</w:t>
      </w:r>
    </w:p>
    <w:p>
      <w:pPr>
        <w:pStyle w:val="ListParagraph"/>
        <w:numPr>
          <w:ilvl w:val="0"/>
          <w:numId w:val="2"/>
        </w:numPr>
        <w:spacing w:after="60" w:before="60"/>
      </w:pPr>
      <w:r>
        <w:rPr>
          <w:rFonts w:ascii="Arial" w:cs="Arial" w:eastAsia="Arial" w:hAnsi="Arial"/>
          <w:sz w:val="22"/>
          <w:szCs w:val="22"/>
        </w:rPr>
        <w:t xml:space="preserve">A physical record of delivery — affirmed by agents of the Universal Postal Union (UPU), operating outside any digital framework</w:t>
      </w:r>
    </w:p>
    <w:p>
      <w:pPr>
        <w:spacing w:after="100" w:before="100"/>
      </w:pPr>
      <w:r>
        <w:rPr>
          <w:rFonts w:ascii="Arial" w:cs="Arial" w:eastAsia="Arial" w:hAnsi="Arial"/>
          <w:sz w:val="22"/>
          <w:szCs w:val="22"/>
        </w:rPr>
        <w:t xml:space="preserve">Together these tracks establish notice that is legally unassailable across virtually every jurisdiction and framework simultaneously.</w:t>
      </w:r>
    </w:p>
    <w:p>
      <w:pPr>
        <w:pStyle w:val="Heading2"/>
        <w:spacing w:after="160" w:before="320"/>
      </w:pPr>
      <w:r>
        <w:rPr>
          <w:rFonts w:ascii="Arial" w:cs="Arial" w:eastAsia="Arial" w:hAnsi="Arial"/>
          <w:b/>
          <w:bCs/>
          <w:color w:val="2E75B6"/>
          <w:sz w:val="28"/>
          <w:szCs w:val="28"/>
        </w:rPr>
        <w:t xml:space="preserve">1.3  The Social Contract</w:t>
      </w:r>
    </w:p>
    <w:p>
      <w:pPr>
        <w:spacing w:after="100" w:before="100"/>
      </w:pPr>
      <w:r>
        <w:rPr>
          <w:rFonts w:ascii="Arial" w:cs="Arial" w:eastAsia="Arial" w:hAnsi="Arial"/>
          <w:sz w:val="22"/>
          <w:szCs w:val="22"/>
        </w:rPr>
        <w:t xml:space="preserve">DOSD is built on a social contract — a voluntary, declared commitment to operate under the Standard of the Prudent Man rather than the default commercial standard of mundus vult decipi ergo decipiatur (the world wishes to be deceived, therefore let it be deceived).</w:t>
      </w:r>
    </w:p>
    <w:p>
      <w:pPr>
        <w:spacing w:after="100" w:before="100"/>
      </w:pPr>
      <w:r>
        <w:rPr>
          <w:rFonts w:ascii="Arial" w:cs="Arial" w:eastAsia="Arial" w:hAnsi="Arial"/>
          <w:sz w:val="22"/>
          <w:szCs w:val="22"/>
        </w:rPr>
        <w:t xml:space="preserve">Most participants in modern commerce operate under the UCC framework without ever having consciously chosen it. DOSD makes that choice visible. Every participant declares which standard they operate under — and the record shows it.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CCCCC" w:sz="1"/>
              <w:left w:val="single" w:color="CCCCCC" w:sz="1"/>
              <w:bottom w:val="single" w:color="CCCCCC" w:sz="1"/>
              <w:right w:val="single" w:color="CCCCCC" w:sz="1"/>
            </w:tcBorders>
            <w:shd w:fill="1F4E79" w:val="clear"/>
            <w:tcMar>
              <w:top w:type="dxa" w:w="100"/>
              <w:left w:type="dxa" w:w="140"/>
              <w:bottom w:type="dxa" w:w="100"/>
              <w:right w:type="dxa" w:w="140"/>
            </w:tcMar>
          </w:tcPr>
          <w:p>
            <w:r>
              <w:rPr>
                <w:rFonts w:ascii="Arial" w:cs="Arial" w:eastAsia="Arial" w:hAnsi="Arial"/>
                <w:b/>
                <w:bCs/>
                <w:color w:val="FFFFFF"/>
                <w:sz w:val="20"/>
                <w:szCs w:val="20"/>
              </w:rPr>
              <w:t xml:space="preserve">Mundus Vult Decipi</w:t>
            </w:r>
          </w:p>
        </w:tc>
        <w:tc>
          <w:tcPr>
            <w:tcW w:type="dxa" w:w="4680"/>
            <w:tcBorders>
              <w:top w:val="single" w:color="CCCCCC" w:sz="1"/>
              <w:left w:val="single" w:color="CCCCCC" w:sz="1"/>
              <w:bottom w:val="single" w:color="CCCCCC" w:sz="1"/>
              <w:right w:val="single" w:color="CCCCCC" w:sz="1"/>
            </w:tcBorders>
            <w:shd w:fill="1F4E79" w:val="clear"/>
            <w:tcMar>
              <w:top w:type="dxa" w:w="100"/>
              <w:left w:type="dxa" w:w="140"/>
              <w:bottom w:type="dxa" w:w="100"/>
              <w:right w:type="dxa" w:w="140"/>
            </w:tcMar>
          </w:tcPr>
          <w:p>
            <w:r>
              <w:rPr>
                <w:rFonts w:ascii="Arial" w:cs="Arial" w:eastAsia="Arial" w:hAnsi="Arial"/>
                <w:b/>
                <w:bCs/>
                <w:color w:val="FFFFFF"/>
                <w:sz w:val="20"/>
                <w:szCs w:val="20"/>
              </w:rPr>
              <w:t xml:space="preserve">Prudent Man Standard</w:t>
            </w:r>
          </w:p>
        </w:tc>
      </w:tr>
      <w:tr>
        <w:tc>
          <w:tcPr>
            <w:tcW w:type="dxa" w:w="4680"/>
            <w:tcBorders>
              <w:top w:val="single" w:color="CCCCCC" w:sz="1"/>
              <w:left w:val="single" w:color="CCCCCC" w:sz="1"/>
              <w:bottom w:val="single" w:color="CCCCCC" w:sz="1"/>
              <w:right w:val="single" w:color="CCCCCC" w:sz="1"/>
            </w:tcBorders>
            <w:shd w:fill="D6E4F0" w:val="clear"/>
            <w:tcMar>
              <w:top w:type="dxa" w:w="80"/>
              <w:left w:type="dxa" w:w="140"/>
              <w:bottom w:type="dxa" w:w="80"/>
              <w:right w:type="dxa" w:w="140"/>
            </w:tcMar>
          </w:tcPr>
          <w:p>
            <w:r>
              <w:rPr>
                <w:rFonts w:ascii="Arial" w:cs="Arial" w:eastAsia="Arial" w:hAnsi="Arial"/>
                <w:b/>
                <w:bCs/>
                <w:sz w:val="20"/>
                <w:szCs w:val="20"/>
              </w:rPr>
              <w:t xml:space="preserve">Roman commercial / UCC default</w:t>
            </w:r>
          </w:p>
        </w:tc>
        <w:tc>
          <w:tcPr>
            <w:tcW w:type="dxa" w:w="46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sz w:val="20"/>
                <w:szCs w:val="20"/>
              </w:rPr>
              <w:t xml:space="preserve">Common law / equity foundation</w:t>
            </w:r>
          </w:p>
        </w:tc>
      </w:tr>
      <w:tr>
        <w:tc>
          <w:tcPr>
            <w:tcW w:type="dxa" w:w="4680"/>
            <w:tcBorders>
              <w:top w:val="single" w:color="CCCCCC" w:sz="1"/>
              <w:left w:val="single" w:color="CCCCCC" w:sz="1"/>
              <w:bottom w:val="single" w:color="CCCCCC" w:sz="1"/>
              <w:right w:val="single" w:color="CCCCCC" w:sz="1"/>
            </w:tcBorders>
            <w:shd w:fill="D6E4F0" w:val="clear"/>
            <w:tcMar>
              <w:top w:type="dxa" w:w="80"/>
              <w:left w:type="dxa" w:w="140"/>
              <w:bottom w:type="dxa" w:w="80"/>
              <w:right w:type="dxa" w:w="140"/>
            </w:tcMar>
          </w:tcPr>
          <w:p>
            <w:r>
              <w:rPr>
                <w:rFonts w:ascii="Arial" w:cs="Arial" w:eastAsia="Arial" w:hAnsi="Arial"/>
                <w:b/>
                <w:bCs/>
                <w:sz w:val="20"/>
                <w:szCs w:val="20"/>
              </w:rPr>
              <w:t xml:space="preserve">Caveat emptor — protect yourself</w:t>
            </w:r>
          </w:p>
        </w:tc>
        <w:tc>
          <w:tcPr>
            <w:tcW w:type="dxa" w:w="46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sz w:val="20"/>
                <w:szCs w:val="20"/>
              </w:rPr>
              <w:t xml:space="preserve">Full disclosure required, good faith assumed</w:t>
            </w:r>
          </w:p>
        </w:tc>
      </w:tr>
      <w:tr>
        <w:tc>
          <w:tcPr>
            <w:tcW w:type="dxa" w:w="4680"/>
            <w:tcBorders>
              <w:top w:val="single" w:color="CCCCCC" w:sz="1"/>
              <w:left w:val="single" w:color="CCCCCC" w:sz="1"/>
              <w:bottom w:val="single" w:color="CCCCCC" w:sz="1"/>
              <w:right w:val="single" w:color="CCCCCC" w:sz="1"/>
            </w:tcBorders>
            <w:shd w:fill="D6E4F0" w:val="clear"/>
            <w:tcMar>
              <w:top w:type="dxa" w:w="80"/>
              <w:left w:type="dxa" w:w="140"/>
              <w:bottom w:type="dxa" w:w="80"/>
              <w:right w:type="dxa" w:w="140"/>
            </w:tcMar>
          </w:tcPr>
          <w:p>
            <w:r>
              <w:rPr>
                <w:rFonts w:ascii="Arial" w:cs="Arial" w:eastAsia="Arial" w:hAnsi="Arial"/>
                <w:b/>
                <w:bCs/>
                <w:sz w:val="20"/>
                <w:szCs w:val="20"/>
              </w:rPr>
              <w:t xml:space="preserve">Deception is the baseline</w:t>
            </w:r>
          </w:p>
        </w:tc>
        <w:tc>
          <w:tcPr>
            <w:tcW w:type="dxa" w:w="46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sz w:val="20"/>
                <w:szCs w:val="20"/>
              </w:rPr>
              <w:t xml:space="preserve">Truth and accountability are the baseline</w:t>
            </w:r>
          </w:p>
        </w:tc>
      </w:tr>
      <w:tr>
        <w:tc>
          <w:tcPr>
            <w:tcW w:type="dxa" w:w="4680"/>
            <w:tcBorders>
              <w:top w:val="single" w:color="CCCCCC" w:sz="1"/>
              <w:left w:val="single" w:color="CCCCCC" w:sz="1"/>
              <w:bottom w:val="single" w:color="CCCCCC" w:sz="1"/>
              <w:right w:val="single" w:color="CCCCCC" w:sz="1"/>
            </w:tcBorders>
            <w:shd w:fill="D6E4F0" w:val="clear"/>
            <w:tcMar>
              <w:top w:type="dxa" w:w="80"/>
              <w:left w:type="dxa" w:w="140"/>
              <w:bottom w:type="dxa" w:w="80"/>
              <w:right w:type="dxa" w:w="140"/>
            </w:tcMar>
          </w:tcPr>
          <w:p>
            <w:r>
              <w:rPr>
                <w:rFonts w:ascii="Arial" w:cs="Arial" w:eastAsia="Arial" w:hAnsi="Arial"/>
                <w:b/>
                <w:bCs/>
                <w:sz w:val="20"/>
                <w:szCs w:val="20"/>
              </w:rPr>
              <w:t xml:space="preserve">Bad faith is hidden and diffuse</w:t>
            </w:r>
          </w:p>
        </w:tc>
        <w:tc>
          <w:tcPr>
            <w:tcW w:type="dxa" w:w="46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sz w:val="20"/>
                <w:szCs w:val="20"/>
              </w:rPr>
              <w:t xml:space="preserve">Bad faith is visible, on the record, actionable</w:t>
            </w:r>
          </w:p>
        </w:tc>
      </w:tr>
      <w:tr>
        <w:tc>
          <w:tcPr>
            <w:tcW w:type="dxa" w:w="4680"/>
            <w:tcBorders>
              <w:top w:val="single" w:color="CCCCCC" w:sz="1"/>
              <w:left w:val="single" w:color="CCCCCC" w:sz="1"/>
              <w:bottom w:val="single" w:color="CCCCCC" w:sz="1"/>
              <w:right w:val="single" w:color="CCCCCC" w:sz="1"/>
            </w:tcBorders>
            <w:shd w:fill="D6E4F0" w:val="clear"/>
            <w:tcMar>
              <w:top w:type="dxa" w:w="80"/>
              <w:left w:type="dxa" w:w="140"/>
              <w:bottom w:type="dxa" w:w="80"/>
              <w:right w:type="dxa" w:w="140"/>
            </w:tcMar>
          </w:tcPr>
          <w:p>
            <w:r>
              <w:rPr>
                <w:rFonts w:ascii="Arial" w:cs="Arial" w:eastAsia="Arial" w:hAnsi="Arial"/>
                <w:b/>
                <w:bCs/>
                <w:sz w:val="20"/>
                <w:szCs w:val="20"/>
              </w:rPr>
              <w:t xml:space="preserve">Chosen by default — through use</w:t>
            </w:r>
          </w:p>
        </w:tc>
        <w:tc>
          <w:tcPr>
            <w:tcW w:type="dxa" w:w="46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sz w:val="20"/>
                <w:szCs w:val="20"/>
              </w:rPr>
              <w:t xml:space="preserve">Chosen consciously — through declaration</w:t>
            </w:r>
          </w:p>
        </w:tc>
      </w:tr>
      <w:tr>
        <w:tc>
          <w:tcPr>
            <w:tcW w:type="dxa" w:w="4680"/>
            <w:tcBorders>
              <w:top w:val="single" w:color="CCCCCC" w:sz="1"/>
              <w:left w:val="single" w:color="CCCCCC" w:sz="1"/>
              <w:bottom w:val="single" w:color="CCCCCC" w:sz="1"/>
              <w:right w:val="single" w:color="CCCCCC" w:sz="1"/>
            </w:tcBorders>
            <w:shd w:fill="D6E4F0" w:val="clear"/>
            <w:tcMar>
              <w:top w:type="dxa" w:w="80"/>
              <w:left w:type="dxa" w:w="140"/>
              <w:bottom w:type="dxa" w:w="80"/>
              <w:right w:type="dxa" w:w="140"/>
            </w:tcMar>
          </w:tcPr>
          <w:p>
            <w:r>
              <w:rPr>
                <w:rFonts w:ascii="Arial" w:cs="Arial" w:eastAsia="Arial" w:hAnsi="Arial"/>
                <w:b/>
                <w:bCs/>
                <w:sz w:val="20"/>
                <w:szCs w:val="20"/>
              </w:rPr>
              <w:t xml:space="preserve">The world is presumed to want deception</w:t>
            </w:r>
          </w:p>
        </w:tc>
        <w:tc>
          <w:tcPr>
            <w:tcW w:type="dxa" w:w="46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sz w:val="20"/>
                <w:szCs w:val="20"/>
              </w:rPr>
              <w:t xml:space="preserve">A reasonable person acts in good faith</w:t>
            </w:r>
          </w:p>
        </w:tc>
      </w:tr>
    </w:tbl>
    <w:p>
      <w:r>
        <w:t xml:space="preserve"/>
      </w:r>
    </w:p>
    <w:p>
      <w:pPr>
        <w:pStyle w:val="Heading1"/>
        <w:pBdr>
          <w:bottom w:val="single" w:color="2E75B6" w:sz="8" w:space="4"/>
        </w:pBdr>
        <w:spacing w:after="200" w:before="400"/>
      </w:pPr>
      <w:r>
        <w:rPr>
          <w:rFonts w:ascii="Arial" w:cs="Arial" w:eastAsia="Arial" w:hAnsi="Arial"/>
          <w:b/>
          <w:bCs/>
          <w:color w:val="1F4E79"/>
          <w:sz w:val="36"/>
          <w:szCs w:val="36"/>
        </w:rPr>
        <w:t xml:space="preserve">Part II: Philosophical and Legal Foundation</w:t>
      </w:r>
    </w:p>
    <w:p>
      <w:pPr>
        <w:pStyle w:val="Heading2"/>
        <w:spacing w:after="160" w:before="320"/>
      </w:pPr>
      <w:r>
        <w:rPr>
          <w:rFonts w:ascii="Arial" w:cs="Arial" w:eastAsia="Arial" w:hAnsi="Arial"/>
          <w:b/>
          <w:bCs/>
          <w:color w:val="2E75B6"/>
          <w:sz w:val="28"/>
          <w:szCs w:val="28"/>
        </w:rPr>
        <w:t xml:space="preserve">2.1  The Ten Essential Maxims of Commercial Law</w:t>
      </w:r>
    </w:p>
    <w:p>
      <w:pPr>
        <w:spacing w:after="100" w:before="100"/>
      </w:pPr>
      <w:r>
        <w:rPr>
          <w:rFonts w:ascii="Arial" w:cs="Arial" w:eastAsia="Arial" w:hAnsi="Arial"/>
          <w:sz w:val="22"/>
          <w:szCs w:val="22"/>
        </w:rPr>
        <w:t xml:space="preserve">DOSD is grounded in the ten essential maxims of commercial law. These are not inventions of DOSD — they are ancient, binding principles recognized across legal traditions, founded in Moral and Natural Law, and operative whether or not any party is aware of them.</w:t>
      </w:r>
    </w:p>
    <w:p>
      <w:pPr>
        <w:spacing w:after="80" w:before="200"/>
      </w:pPr>
      <w:r>
        <w:rPr>
          <w:rFonts w:ascii="Arial" w:cs="Arial" w:eastAsia="Arial" w:hAnsi="Arial"/>
          <w:b/>
          <w:bCs/>
          <w:color w:val="2E75B6"/>
          <w:sz w:val="22"/>
          <w:szCs w:val="22"/>
        </w:rPr>
        <w:t xml:space="preserve">Maxim 1: </w:t>
      </w:r>
      <w:r>
        <w:rPr>
          <w:rFonts w:ascii="Arial" w:cs="Arial" w:eastAsia="Arial" w:hAnsi="Arial"/>
          <w:b/>
          <w:bCs/>
          <w:i/>
          <w:iCs/>
          <w:color w:val="1A1A2E"/>
          <w:sz w:val="22"/>
          <w:szCs w:val="22"/>
        </w:rPr>
        <w:t xml:space="preserve">A Workman Is Worthy of His Hire</w:t>
      </w:r>
    </w:p>
    <w:p>
      <w:pPr>
        <w:spacing w:after="140" w:before="60"/>
        <w:ind w:left="480"/>
      </w:pPr>
      <w:r>
        <w:rPr>
          <w:rFonts w:ascii="Arial" w:cs="Arial" w:eastAsia="Arial" w:hAnsi="Arial"/>
          <w:sz w:val="22"/>
          <w:szCs w:val="22"/>
        </w:rPr>
        <w:t xml:space="preserve">It is against equity for freemen not to have the free disposal of their own property. Labor, service, and stewardship have inherent value that no agreement can lawfully deny.</w:t>
      </w:r>
    </w:p>
    <w:p>
      <w:pPr>
        <w:spacing w:after="80" w:before="200"/>
      </w:pPr>
      <w:r>
        <w:rPr>
          <w:rFonts w:ascii="Arial" w:cs="Arial" w:eastAsia="Arial" w:hAnsi="Arial"/>
          <w:b/>
          <w:bCs/>
          <w:color w:val="2E75B6"/>
          <w:sz w:val="22"/>
          <w:szCs w:val="22"/>
        </w:rPr>
        <w:t xml:space="preserve">Maxim 2: </w:t>
      </w:r>
      <w:r>
        <w:rPr>
          <w:rFonts w:ascii="Arial" w:cs="Arial" w:eastAsia="Arial" w:hAnsi="Arial"/>
          <w:b/>
          <w:bCs/>
          <w:i/>
          <w:iCs/>
          <w:color w:val="1A1A2E"/>
          <w:sz w:val="22"/>
          <w:szCs w:val="22"/>
        </w:rPr>
        <w:t xml:space="preserve">All Are Equal Under the Law</w:t>
      </w:r>
    </w:p>
    <w:p>
      <w:pPr>
        <w:spacing w:after="140" w:before="60"/>
        <w:ind w:left="480"/>
      </w:pPr>
      <w:r>
        <w:rPr>
          <w:rFonts w:ascii="Arial" w:cs="Arial" w:eastAsia="Arial" w:hAnsi="Arial"/>
          <w:sz w:val="22"/>
          <w:szCs w:val="22"/>
        </w:rPr>
        <w:t xml:space="preserve">No one is above the law. Commerce, by the law of nations, ought to be common and not converted into a monopoly for the private gain of the few. This is binding on everyone without exception.</w:t>
      </w:r>
    </w:p>
    <w:p>
      <w:pPr>
        <w:spacing w:after="80" w:before="200"/>
      </w:pPr>
      <w:r>
        <w:rPr>
          <w:rFonts w:ascii="Arial" w:cs="Arial" w:eastAsia="Arial" w:hAnsi="Arial"/>
          <w:b/>
          <w:bCs/>
          <w:color w:val="2E75B6"/>
          <w:sz w:val="22"/>
          <w:szCs w:val="22"/>
        </w:rPr>
        <w:t xml:space="preserve">Maxim 3: </w:t>
      </w:r>
      <w:r>
        <w:rPr>
          <w:rFonts w:ascii="Arial" w:cs="Arial" w:eastAsia="Arial" w:hAnsi="Arial"/>
          <w:b/>
          <w:bCs/>
          <w:i/>
          <w:iCs/>
          <w:color w:val="1A1A2E"/>
          <w:sz w:val="22"/>
          <w:szCs w:val="22"/>
        </w:rPr>
        <w:t xml:space="preserve">In Commerce Truth Is Sovereign</w:t>
      </w:r>
    </w:p>
    <w:p>
      <w:pPr>
        <w:spacing w:after="140" w:before="60"/>
        <w:ind w:left="480"/>
      </w:pPr>
      <w:r>
        <w:rPr>
          <w:rFonts w:ascii="Arial" w:cs="Arial" w:eastAsia="Arial" w:hAnsi="Arial"/>
          <w:sz w:val="22"/>
          <w:szCs w:val="22"/>
        </w:rPr>
        <w:t xml:space="preserve">Truth is sovereign — and the sovereign tells only the truth. Without truth as the foundation, there is no basis for law, order, accountability, or resolution. Your word is your bond.</w:t>
      </w:r>
    </w:p>
    <w:p>
      <w:pPr>
        <w:spacing w:after="80" w:before="200"/>
      </w:pPr>
      <w:r>
        <w:rPr>
          <w:rFonts w:ascii="Arial" w:cs="Arial" w:eastAsia="Arial" w:hAnsi="Arial"/>
          <w:b/>
          <w:bCs/>
          <w:color w:val="2E75B6"/>
          <w:sz w:val="22"/>
          <w:szCs w:val="22"/>
        </w:rPr>
        <w:t xml:space="preserve">Maxim 4: </w:t>
      </w:r>
      <w:r>
        <w:rPr>
          <w:rFonts w:ascii="Arial" w:cs="Arial" w:eastAsia="Arial" w:hAnsi="Arial"/>
          <w:b/>
          <w:bCs/>
          <w:i/>
          <w:iCs/>
          <w:color w:val="1A1A2E"/>
          <w:sz w:val="22"/>
          <w:szCs w:val="22"/>
        </w:rPr>
        <w:t xml:space="preserve">Truth Is Expressed in the Form of an Affidavit</w:t>
      </w:r>
    </w:p>
    <w:p>
      <w:pPr>
        <w:spacing w:after="140" w:before="60"/>
        <w:ind w:left="480"/>
      </w:pPr>
      <w:r>
        <w:rPr>
          <w:rFonts w:ascii="Arial" w:cs="Arial" w:eastAsia="Arial" w:hAnsi="Arial"/>
          <w:sz w:val="22"/>
          <w:szCs w:val="22"/>
        </w:rPr>
        <w:t xml:space="preserve">An affidavit is a solemn expression of truth. No valid commercial transaction can exist without someone stating on the record: this is true, correct, complete, and not meant to mislead.</w:t>
      </w:r>
    </w:p>
    <w:p>
      <w:pPr>
        <w:spacing w:after="80" w:before="200"/>
      </w:pPr>
      <w:r>
        <w:rPr>
          <w:rFonts w:ascii="Arial" w:cs="Arial" w:eastAsia="Arial" w:hAnsi="Arial"/>
          <w:b/>
          <w:bCs/>
          <w:color w:val="2E75B6"/>
          <w:sz w:val="22"/>
          <w:szCs w:val="22"/>
        </w:rPr>
        <w:t xml:space="preserve">Maxim 5: </w:t>
      </w:r>
      <w:r>
        <w:rPr>
          <w:rFonts w:ascii="Arial" w:cs="Arial" w:eastAsia="Arial" w:hAnsi="Arial"/>
          <w:b/>
          <w:bCs/>
          <w:i/>
          <w:iCs/>
          <w:color w:val="1A1A2E"/>
          <w:sz w:val="22"/>
          <w:szCs w:val="22"/>
        </w:rPr>
        <w:t xml:space="preserve">An Unrebutted Affidavit Stands as Truth in Commerce</w:t>
      </w:r>
    </w:p>
    <w:p>
      <w:pPr>
        <w:spacing w:after="140" w:before="60"/>
        <w:ind w:left="480"/>
      </w:pPr>
      <w:r>
        <w:rPr>
          <w:rFonts w:ascii="Arial" w:cs="Arial" w:eastAsia="Arial" w:hAnsi="Arial"/>
          <w:sz w:val="22"/>
          <w:szCs w:val="22"/>
        </w:rPr>
        <w:t xml:space="preserve">Claims made in an affidavit, if not rebutted point by point, emerge as the truth of the matter. He who does not deny, admits.</w:t>
      </w:r>
    </w:p>
    <w:p>
      <w:pPr>
        <w:spacing w:after="80" w:before="200"/>
      </w:pPr>
      <w:r>
        <w:rPr>
          <w:rFonts w:ascii="Arial" w:cs="Arial" w:eastAsia="Arial" w:hAnsi="Arial"/>
          <w:b/>
          <w:bCs/>
          <w:color w:val="2E75B6"/>
          <w:sz w:val="22"/>
          <w:szCs w:val="22"/>
        </w:rPr>
        <w:t xml:space="preserve">Maxim 6: </w:t>
      </w:r>
      <w:r>
        <w:rPr>
          <w:rFonts w:ascii="Arial" w:cs="Arial" w:eastAsia="Arial" w:hAnsi="Arial"/>
          <w:b/>
          <w:bCs/>
          <w:i/>
          <w:iCs/>
          <w:color w:val="1A1A2E"/>
          <w:sz w:val="22"/>
          <w:szCs w:val="22"/>
        </w:rPr>
        <w:t xml:space="preserve">An Unrebutted Affidavit Becomes the Judgment in Commerce</w:t>
      </w:r>
    </w:p>
    <w:p>
      <w:pPr>
        <w:spacing w:after="140" w:before="60"/>
        <w:ind w:left="480"/>
      </w:pPr>
      <w:r>
        <w:rPr>
          <w:rFonts w:ascii="Arial" w:cs="Arial" w:eastAsia="Arial" w:hAnsi="Arial"/>
          <w:sz w:val="22"/>
          <w:szCs w:val="22"/>
        </w:rPr>
        <w:t xml:space="preserve">There is nothing left to resolve. Any proceeding consists of a contest of commercial affidavits wherein the points remaining unrebutted stand as truth and as the basis for judgment.</w:t>
      </w:r>
    </w:p>
    <w:p>
      <w:pPr>
        <w:spacing w:after="80" w:before="200"/>
      </w:pPr>
      <w:r>
        <w:rPr>
          <w:rFonts w:ascii="Arial" w:cs="Arial" w:eastAsia="Arial" w:hAnsi="Arial"/>
          <w:b/>
          <w:bCs/>
          <w:color w:val="2E75B6"/>
          <w:sz w:val="22"/>
          <w:szCs w:val="22"/>
        </w:rPr>
        <w:t xml:space="preserve">Maxim 7: </w:t>
      </w:r>
      <w:r>
        <w:rPr>
          <w:rFonts w:ascii="Arial" w:cs="Arial" w:eastAsia="Arial" w:hAnsi="Arial"/>
          <w:b/>
          <w:bCs/>
          <w:i/>
          <w:iCs/>
          <w:color w:val="1A1A2E"/>
          <w:sz w:val="22"/>
          <w:szCs w:val="22"/>
        </w:rPr>
        <w:t xml:space="preserve">In Commerce, All Matters Must Be Expressed</w:t>
      </w:r>
    </w:p>
    <w:p>
      <w:pPr>
        <w:spacing w:after="140" w:before="60"/>
        <w:ind w:left="480"/>
      </w:pPr>
      <w:r>
        <w:rPr>
          <w:rFonts w:ascii="Arial" w:cs="Arial" w:eastAsia="Arial" w:hAnsi="Arial"/>
          <w:sz w:val="22"/>
          <w:szCs w:val="22"/>
        </w:rPr>
        <w:t xml:space="preserve">No one is a mind reader. A matter must be stated to be resolved. He who fails to assert his rights has none.</w:t>
      </w:r>
    </w:p>
    <w:p>
      <w:pPr>
        <w:spacing w:after="80" w:before="200"/>
      </w:pPr>
      <w:r>
        <w:rPr>
          <w:rFonts w:ascii="Arial" w:cs="Arial" w:eastAsia="Arial" w:hAnsi="Arial"/>
          <w:b/>
          <w:bCs/>
          <w:color w:val="2E75B6"/>
          <w:sz w:val="22"/>
          <w:szCs w:val="22"/>
        </w:rPr>
        <w:t xml:space="preserve">Maxim 8: </w:t>
      </w:r>
      <w:r>
        <w:rPr>
          <w:rFonts w:ascii="Arial" w:cs="Arial" w:eastAsia="Arial" w:hAnsi="Arial"/>
          <w:b/>
          <w:bCs/>
          <w:i/>
          <w:iCs/>
          <w:color w:val="1A1A2E"/>
          <w:sz w:val="22"/>
          <w:szCs w:val="22"/>
        </w:rPr>
        <w:t xml:space="preserve">He Who Leaves the Battlefield First Loses by Default</w:t>
      </w:r>
    </w:p>
    <w:p>
      <w:pPr>
        <w:spacing w:after="140" w:before="60"/>
        <w:ind w:left="480"/>
      </w:pPr>
      <w:r>
        <w:rPr>
          <w:rFonts w:ascii="Arial" w:cs="Arial" w:eastAsia="Arial" w:hAnsi="Arial"/>
          <w:sz w:val="22"/>
          <w:szCs w:val="22"/>
        </w:rPr>
        <w:t xml:space="preserve">An affidavit unrebutted point by point stands as truth because the opposing party has left the field. Non-response is a choice on the record. He who does not repel a wrong when he can, occasions it.</w:t>
      </w:r>
    </w:p>
    <w:p>
      <w:pPr>
        <w:spacing w:after="80" w:before="200"/>
      </w:pPr>
      <w:r>
        <w:rPr>
          <w:rFonts w:ascii="Arial" w:cs="Arial" w:eastAsia="Arial" w:hAnsi="Arial"/>
          <w:b/>
          <w:bCs/>
          <w:color w:val="2E75B6"/>
          <w:sz w:val="22"/>
          <w:szCs w:val="22"/>
        </w:rPr>
        <w:t xml:space="preserve">Maxim 9: </w:t>
      </w:r>
      <w:r>
        <w:rPr>
          <w:rFonts w:ascii="Arial" w:cs="Arial" w:eastAsia="Arial" w:hAnsi="Arial"/>
          <w:b/>
          <w:bCs/>
          <w:i/>
          <w:iCs/>
          <w:color w:val="1A1A2E"/>
          <w:sz w:val="22"/>
          <w:szCs w:val="22"/>
        </w:rPr>
        <w:t xml:space="preserve">Sacrifice Is the Measure of Credibility</w:t>
      </w:r>
    </w:p>
    <w:p>
      <w:pPr>
        <w:spacing w:after="140" w:before="60"/>
        <w:ind w:left="480"/>
      </w:pPr>
      <w:r>
        <w:rPr>
          <w:rFonts w:ascii="Arial" w:cs="Arial" w:eastAsia="Arial" w:hAnsi="Arial"/>
          <w:sz w:val="22"/>
          <w:szCs w:val="22"/>
        </w:rPr>
        <w:t xml:space="preserve">A person must put themselves on the line. One cannot assert claims without also accepting the liability for those claims. He who bears the burden ought also to derive the benefit.</w:t>
      </w:r>
    </w:p>
    <w:p>
      <w:pPr>
        <w:spacing w:after="80" w:before="200"/>
      </w:pPr>
      <w:r>
        <w:rPr>
          <w:rFonts w:ascii="Arial" w:cs="Arial" w:eastAsia="Arial" w:hAnsi="Arial"/>
          <w:b/>
          <w:bCs/>
          <w:color w:val="2E75B6"/>
          <w:sz w:val="22"/>
          <w:szCs w:val="22"/>
        </w:rPr>
        <w:t xml:space="preserve">Maxim 10: </w:t>
      </w:r>
      <w:r>
        <w:rPr>
          <w:rFonts w:ascii="Arial" w:cs="Arial" w:eastAsia="Arial" w:hAnsi="Arial"/>
          <w:b/>
          <w:bCs/>
          <w:i/>
          <w:iCs/>
          <w:color w:val="1A1A2E"/>
          <w:sz w:val="22"/>
          <w:szCs w:val="22"/>
        </w:rPr>
        <w:t xml:space="preserve">A Lien or Claim Can Be Satisfied Only Through Rebuttal by Affidavit, Resolution by Jury, or Payment</w:t>
      </w:r>
    </w:p>
    <w:p>
      <w:pPr>
        <w:spacing w:after="140" w:before="60"/>
        <w:ind w:left="480"/>
      </w:pPr>
      <w:r>
        <w:rPr>
          <w:rFonts w:ascii="Arial" w:cs="Arial" w:eastAsia="Arial" w:hAnsi="Arial"/>
          <w:sz w:val="22"/>
          <w:szCs w:val="22"/>
        </w:rPr>
        <w:t xml:space="preserve">These are the three lawful paths to resolution. All other proceedings reduce to these foundations.</w:t>
      </w:r>
    </w:p>
    <w:p>
      <w:pPr>
        <w:pStyle w:val="Heading2"/>
        <w:spacing w:after="160" w:before="320"/>
      </w:pPr>
      <w:r>
        <w:rPr>
          <w:rFonts w:ascii="Arial" w:cs="Arial" w:eastAsia="Arial" w:hAnsi="Arial"/>
          <w:b/>
          <w:bCs/>
          <w:color w:val="2E75B6"/>
          <w:sz w:val="28"/>
          <w:szCs w:val="28"/>
        </w:rPr>
        <w:t xml:space="preserve">2.2  Acquiescence as Foundation</w:t>
      </w:r>
    </w:p>
    <w:p>
      <w:pPr>
        <w:spacing w:after="100" w:before="100"/>
      </w:pPr>
      <w:r>
        <w:rPr>
          <w:rFonts w:ascii="Arial" w:cs="Arial" w:eastAsia="Arial" w:hAnsi="Arial"/>
          <w:sz w:val="22"/>
          <w:szCs w:val="22"/>
        </w:rPr>
        <w:t xml:space="preserve">DOSD does not require new enforcement mechanisms. The maxims already provide them. Acquiescence — the failure to rebut a properly served affidavit — carries full legal weight under commercial law. DOSD's role is to make acquiescence visible, timestamped, federated, and undeniable.</w:t>
      </w:r>
    </w:p>
    <w:p>
      <w:pPr>
        <w:spacing w:after="100" w:before="100"/>
      </w:pPr>
      <w:r>
        <w:rPr>
          <w:rFonts w:ascii="Arial" w:cs="Arial" w:eastAsia="Arial" w:hAnsi="Arial"/>
          <w:sz w:val="22"/>
          <w:szCs w:val="22"/>
        </w:rPr>
        <w:t xml:space="preserve">When a declaration is made under penalty of perjury, published to the record, and served through the DOSD dual-track notice system, the receiving party faces a clear choice:</w:t>
      </w:r>
    </w:p>
    <w:p>
      <w:pPr>
        <w:pStyle w:val="ListParagraph"/>
        <w:numPr>
          <w:ilvl w:val="0"/>
          <w:numId w:val="2"/>
        </w:numPr>
        <w:spacing w:after="60" w:before="60"/>
      </w:pPr>
      <w:r>
        <w:rPr>
          <w:rFonts w:ascii="Arial" w:cs="Arial" w:eastAsia="Arial" w:hAnsi="Arial"/>
          <w:sz w:val="22"/>
          <w:szCs w:val="22"/>
        </w:rPr>
        <w:t xml:space="preserve">Come to the table — mediation or rebuttal opens</w:t>
      </w:r>
    </w:p>
    <w:p>
      <w:pPr>
        <w:pStyle w:val="ListParagraph"/>
        <w:numPr>
          <w:ilvl w:val="0"/>
          <w:numId w:val="2"/>
        </w:numPr>
        <w:spacing w:after="60" w:before="60"/>
      </w:pPr>
      <w:r>
        <w:rPr>
          <w:rFonts w:ascii="Arial" w:cs="Arial" w:eastAsia="Arial" w:hAnsi="Arial"/>
          <w:sz w:val="22"/>
          <w:szCs w:val="22"/>
        </w:rPr>
        <w:t xml:space="preserve">Rebut point by point — the dispute process opens</w:t>
      </w:r>
    </w:p>
    <w:p>
      <w:pPr>
        <w:pStyle w:val="ListParagraph"/>
        <w:numPr>
          <w:ilvl w:val="0"/>
          <w:numId w:val="2"/>
        </w:numPr>
        <w:spacing w:after="60" w:before="60"/>
      </w:pPr>
      <w:r>
        <w:rPr>
          <w:rFonts w:ascii="Arial" w:cs="Arial" w:eastAsia="Arial" w:hAnsi="Arial"/>
          <w:sz w:val="22"/>
          <w:szCs w:val="22"/>
        </w:rPr>
        <w:t xml:space="preserve">Remain silent — acquiescence is recorded and propagated</w:t>
      </w:r>
    </w:p>
    <w:p>
      <w:pPr>
        <w:spacing w:after="100" w:before="100"/>
      </w:pPr>
      <w:r>
        <w:rPr>
          <w:rFonts w:ascii="Arial" w:cs="Arial" w:eastAsia="Arial" w:hAnsi="Arial"/>
          <w:sz w:val="22"/>
          <w:szCs w:val="22"/>
        </w:rPr>
        <w:t xml:space="preserve">Bad faith notices are equally addressed: any party who raises a fraudulent white flag has done so under penalty of perjury, on a signed, federated, timestamped record, giving the counter-party full standing to claim remedy using the same maxims.</w:t>
      </w:r>
    </w:p>
    <w:p>
      <w:r>
        <w:t xml:space="preserve"/>
      </w:r>
    </w:p>
    <w:p>
      <w:pPr>
        <w:pStyle w:val="Heading1"/>
        <w:pBdr>
          <w:bottom w:val="single" w:color="2E75B6" w:sz="8" w:space="4"/>
        </w:pBdr>
        <w:spacing w:after="200" w:before="400"/>
      </w:pPr>
      <w:r>
        <w:rPr>
          <w:rFonts w:ascii="Arial" w:cs="Arial" w:eastAsia="Arial" w:hAnsi="Arial"/>
          <w:b/>
          <w:bCs/>
          <w:color w:val="1F4E79"/>
          <w:sz w:val="36"/>
          <w:szCs w:val="36"/>
        </w:rPr>
        <w:t xml:space="preserve">Part III: Technical Architecture</w:t>
      </w:r>
    </w:p>
    <w:p>
      <w:pPr>
        <w:pStyle w:val="Heading2"/>
        <w:spacing w:after="160" w:before="320"/>
      </w:pPr>
      <w:r>
        <w:rPr>
          <w:rFonts w:ascii="Arial" w:cs="Arial" w:eastAsia="Arial" w:hAnsi="Arial"/>
          <w:b/>
          <w:bCs/>
          <w:color w:val="2E75B6"/>
          <w:sz w:val="28"/>
          <w:szCs w:val="28"/>
        </w:rPr>
        <w:t xml:space="preserve">3.1  Architectural Layers</w:t>
      </w:r>
    </w:p>
    <w:p>
      <w:pPr>
        <w:spacing w:after="100" w:before="100"/>
      </w:pPr>
      <w:r>
        <w:rPr>
          <w:rFonts w:ascii="Arial" w:cs="Arial" w:eastAsia="Arial" w:hAnsi="Arial"/>
          <w:sz w:val="22"/>
          <w:szCs w:val="22"/>
        </w:rPr>
        <w:t xml:space="preserve">DOSD intentionally separates three layers, each of which can evolve independently:</w:t>
      </w:r>
    </w:p>
    <w:p>
      <w:pPr>
        <w:pStyle w:val="ListParagraph"/>
        <w:numPr>
          <w:ilvl w:val="0"/>
          <w:numId w:val="3"/>
        </w:numPr>
        <w:spacing w:after="60" w:before="60"/>
      </w:pPr>
      <w:r>
        <w:rPr>
          <w:rFonts w:ascii="Arial" w:cs="Arial" w:eastAsia="Arial" w:hAnsi="Arial"/>
          <w:sz w:val="22"/>
          <w:szCs w:val="22"/>
        </w:rPr>
        <w:t xml:space="preserve">Philosophical and historical rationale</w:t>
      </w:r>
    </w:p>
    <w:p>
      <w:pPr>
        <w:pStyle w:val="ListParagraph"/>
        <w:numPr>
          <w:ilvl w:val="0"/>
          <w:numId w:val="3"/>
        </w:numPr>
        <w:spacing w:after="60" w:before="60"/>
      </w:pPr>
      <w:r>
        <w:rPr>
          <w:rFonts w:ascii="Arial" w:cs="Arial" w:eastAsia="Arial" w:hAnsi="Arial"/>
          <w:sz w:val="22"/>
          <w:szCs w:val="22"/>
        </w:rPr>
        <w:t xml:space="preserve">Legal and accountability attestations</w:t>
      </w:r>
    </w:p>
    <w:p>
      <w:pPr>
        <w:pStyle w:val="ListParagraph"/>
        <w:numPr>
          <w:ilvl w:val="0"/>
          <w:numId w:val="3"/>
        </w:numPr>
        <w:spacing w:after="60" w:before="60"/>
      </w:pPr>
      <w:r>
        <w:rPr>
          <w:rFonts w:ascii="Arial" w:cs="Arial" w:eastAsia="Arial" w:hAnsi="Arial"/>
          <w:sz w:val="22"/>
          <w:szCs w:val="22"/>
        </w:rPr>
        <w:t xml:space="preserve">Technical interoperability mechanisms</w:t>
      </w:r>
    </w:p>
    <w:p>
      <w:pPr>
        <w:pStyle w:val="Heading2"/>
        <w:spacing w:after="160" w:before="320"/>
      </w:pPr>
      <w:r>
        <w:rPr>
          <w:rFonts w:ascii="Arial" w:cs="Arial" w:eastAsia="Arial" w:hAnsi="Arial"/>
          <w:b/>
          <w:bCs/>
          <w:color w:val="2E75B6"/>
          <w:sz w:val="28"/>
          <w:szCs w:val="28"/>
        </w:rPr>
        <w:t xml:space="preserve">3.2  DNS Discovery Layer</w:t>
      </w:r>
    </w:p>
    <w:p>
      <w:pPr>
        <w:spacing w:after="100" w:before="100"/>
      </w:pPr>
      <w:r>
        <w:rPr>
          <w:rFonts w:ascii="Arial" w:cs="Arial" w:eastAsia="Arial" w:hAnsi="Arial"/>
          <w:sz w:val="22"/>
          <w:szCs w:val="22"/>
        </w:rPr>
        <w:t xml:space="preserve">The DNS layer is the universal entry point. It uses infrastructure already deployed across the entire Internet, requires no new software to discover, and is human-readable.</w:t>
      </w:r>
    </w:p>
    <w:p>
      <w:pPr>
        <w:spacing w:after="100" w:before="100"/>
      </w:pPr>
      <w:r>
        <w:rPr>
          <w:rFonts w:ascii="Arial" w:cs="Arial" w:eastAsia="Arial" w:hAnsi="Arial"/>
          <w:sz w:val="22"/>
          <w:szCs w:val="22"/>
        </w:rPr>
        <w:t xml:space="preserve">Example TXT record:</w:t>
      </w:r>
    </w:p>
    <w:p>
      <w:pPr>
        <w:shd w:fill="F5F5F5" w:val="clear"/>
        <w:spacing w:after="120" w:before="120"/>
        <w:ind w:left="720"/>
      </w:pPr>
      <w:r>
        <w:rPr>
          <w:rFonts w:ascii="Courier New" w:cs="Courier New" w:eastAsia="Courier New" w:hAnsi="Courier New"/>
          <w:color w:val="333333"/>
          <w:sz w:val="20"/>
          <w:szCs w:val="20"/>
        </w:rPr>
        <w:t xml:space="preserve">_dosd.example.org TXT "v=dosd1; level=5; uri=https://example.org/.well-known/dosd.json"</w:t>
      </w:r>
    </w:p>
    <w:p>
      <w:pPr>
        <w:pStyle w:val="Heading2"/>
        <w:spacing w:after="160" w:before="320"/>
      </w:pPr>
      <w:r>
        <w:rPr>
          <w:rFonts w:ascii="Arial" w:cs="Arial" w:eastAsia="Arial" w:hAnsi="Arial"/>
          <w:b/>
          <w:bCs/>
          <w:color w:val="2E75B6"/>
          <w:sz w:val="28"/>
          <w:szCs w:val="28"/>
        </w:rPr>
        <w:t xml:space="preserve">3.3  Well-Known Metadata Layer</w:t>
      </w:r>
    </w:p>
    <w:p>
      <w:pPr>
        <w:spacing w:after="100" w:before="100"/>
      </w:pPr>
      <w:r>
        <w:rPr>
          <w:rFonts w:ascii="Arial" w:cs="Arial" w:eastAsia="Arial" w:hAnsi="Arial"/>
          <w:sz w:val="22"/>
          <w:szCs w:val="22"/>
        </w:rPr>
        <w:t xml:space="preserve">Canonical metadata is published at the well-known URI: /.well-known/dosd.json</w:t>
      </w:r>
    </w:p>
    <w:p>
      <w:pPr>
        <w:spacing w:after="100" w:before="100"/>
      </w:pPr>
      <w:r>
        <w:rPr>
          <w:rFonts w:ascii="Arial" w:cs="Arial" w:eastAsia="Arial" w:hAnsi="Arial"/>
          <w:sz w:val="22"/>
          <w:szCs w:val="22"/>
        </w:rPr>
        <w:t xml:space="preserve">This document may contain:</w:t>
      </w:r>
    </w:p>
    <w:p>
      <w:pPr>
        <w:pStyle w:val="ListParagraph"/>
        <w:numPr>
          <w:ilvl w:val="0"/>
          <w:numId w:val="2"/>
        </w:numPr>
        <w:spacing w:after="60" w:before="60"/>
      </w:pPr>
      <w:r>
        <w:rPr>
          <w:rFonts w:ascii="Arial" w:cs="Arial" w:eastAsia="Arial" w:hAnsi="Arial"/>
          <w:sz w:val="22"/>
          <w:szCs w:val="22"/>
        </w:rPr>
        <w:t xml:space="preserve">Governance declarations</w:t>
      </w:r>
    </w:p>
    <w:p>
      <w:pPr>
        <w:pStyle w:val="ListParagraph"/>
        <w:numPr>
          <w:ilvl w:val="0"/>
          <w:numId w:val="2"/>
        </w:numPr>
        <w:spacing w:after="60" w:before="60"/>
      </w:pPr>
      <w:r>
        <w:rPr>
          <w:rFonts w:ascii="Arial" w:cs="Arial" w:eastAsia="Arial" w:hAnsi="Arial"/>
          <w:sz w:val="22"/>
          <w:szCs w:val="22"/>
        </w:rPr>
        <w:t xml:space="preserve">Provenance chains</w:t>
      </w:r>
    </w:p>
    <w:p>
      <w:pPr>
        <w:pStyle w:val="ListParagraph"/>
        <w:numPr>
          <w:ilvl w:val="0"/>
          <w:numId w:val="2"/>
        </w:numPr>
        <w:spacing w:after="60" w:before="60"/>
      </w:pPr>
      <w:r>
        <w:rPr>
          <w:rFonts w:ascii="Arial" w:cs="Arial" w:eastAsia="Arial" w:hAnsi="Arial"/>
          <w:sz w:val="22"/>
          <w:szCs w:val="22"/>
        </w:rPr>
        <w:t xml:space="preserve">Stewardship status</w:t>
      </w:r>
    </w:p>
    <w:p>
      <w:pPr>
        <w:pStyle w:val="ListParagraph"/>
        <w:numPr>
          <w:ilvl w:val="0"/>
          <w:numId w:val="2"/>
        </w:numPr>
        <w:spacing w:after="60" w:before="60"/>
      </w:pPr>
      <w:r>
        <w:rPr>
          <w:rFonts w:ascii="Arial" w:cs="Arial" w:eastAsia="Arial" w:hAnsi="Arial"/>
          <w:sz w:val="22"/>
          <w:szCs w:val="22"/>
        </w:rPr>
        <w:t xml:space="preserve">White-flag notices</w:t>
      </w:r>
    </w:p>
    <w:p>
      <w:pPr>
        <w:pStyle w:val="ListParagraph"/>
        <w:numPr>
          <w:ilvl w:val="0"/>
          <w:numId w:val="2"/>
        </w:numPr>
        <w:spacing w:after="60" w:before="60"/>
      </w:pPr>
      <w:r>
        <w:rPr>
          <w:rFonts w:ascii="Arial" w:cs="Arial" w:eastAsia="Arial" w:hAnsi="Arial"/>
          <w:sz w:val="22"/>
          <w:szCs w:val="22"/>
        </w:rPr>
        <w:t xml:space="preserve">Mediation requests</w:t>
      </w:r>
    </w:p>
    <w:p>
      <w:pPr>
        <w:pStyle w:val="ListParagraph"/>
        <w:numPr>
          <w:ilvl w:val="0"/>
          <w:numId w:val="2"/>
        </w:numPr>
        <w:spacing w:after="60" w:before="60"/>
      </w:pPr>
      <w:r>
        <w:rPr>
          <w:rFonts w:ascii="Arial" w:cs="Arial" w:eastAsia="Arial" w:hAnsi="Arial"/>
          <w:sz w:val="22"/>
          <w:szCs w:val="22"/>
        </w:rPr>
        <w:t xml:space="preserve">Verification signatures</w:t>
      </w:r>
    </w:p>
    <w:p>
      <w:pPr>
        <w:pStyle w:val="ListParagraph"/>
        <w:numPr>
          <w:ilvl w:val="0"/>
          <w:numId w:val="2"/>
        </w:numPr>
        <w:spacing w:after="60" w:before="60"/>
      </w:pPr>
      <w:r>
        <w:rPr>
          <w:rFonts w:ascii="Arial" w:cs="Arial" w:eastAsia="Arial" w:hAnsi="Arial"/>
          <w:sz w:val="22"/>
          <w:szCs w:val="22"/>
        </w:rPr>
        <w:t xml:space="preserve">UPU postal reference numbers and delivery confirmations</w:t>
      </w:r>
    </w:p>
    <w:p>
      <w:pPr>
        <w:pStyle w:val="ListParagraph"/>
        <w:numPr>
          <w:ilvl w:val="0"/>
          <w:numId w:val="2"/>
        </w:numPr>
        <w:spacing w:after="60" w:before="60"/>
      </w:pPr>
      <w:r>
        <w:rPr>
          <w:rFonts w:ascii="Arial" w:cs="Arial" w:eastAsia="Arial" w:hAnsi="Arial"/>
          <w:sz w:val="22"/>
          <w:szCs w:val="22"/>
        </w:rPr>
        <w:t xml:space="preserve">Digital hash references linking to the physical record</w:t>
      </w:r>
    </w:p>
    <w:p>
      <w:pPr>
        <w:pStyle w:val="Heading2"/>
        <w:spacing w:after="160" w:before="320"/>
      </w:pPr>
      <w:r>
        <w:rPr>
          <w:rFonts w:ascii="Arial" w:cs="Arial" w:eastAsia="Arial" w:hAnsi="Arial"/>
          <w:b/>
          <w:bCs/>
          <w:color w:val="2E75B6"/>
          <w:sz w:val="28"/>
          <w:szCs w:val="28"/>
        </w:rPr>
        <w:t xml:space="preserve">3.4  The DOSD Linktree — Chain of Truth</w:t>
      </w:r>
    </w:p>
    <w:p>
      <w:pPr>
        <w:spacing w:after="100" w:before="100"/>
      </w:pPr>
      <w:r>
        <w:rPr>
          <w:rFonts w:ascii="Arial" w:cs="Arial" w:eastAsia="Arial" w:hAnsi="Arial"/>
          <w:sz w:val="22"/>
          <w:szCs w:val="22"/>
        </w:rPr>
        <w:t xml:space="preserve">The DOSD linktree is a federated, traversable chain in which every node carries the provenance of everything before it. Anyone joining the chain can follow every link backward to the origin, verify every document hash, confirm every delivery, and read the complete record in sequence.</w:t>
      </w:r>
    </w:p>
    <w:p>
      <w:pPr>
        <w:spacing w:after="100" w:before="100"/>
      </w:pPr>
      <w:r>
        <w:rPr>
          <w:rFonts w:ascii="Arial" w:cs="Arial" w:eastAsia="Arial" w:hAnsi="Arial"/>
          <w:sz w:val="22"/>
          <w:szCs w:val="22"/>
        </w:rPr>
        <w:t xml:space="preserve">Each node contains: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CCCCCC" w:sz="1"/>
              <w:left w:val="single" w:color="CCCCCC" w:sz="1"/>
              <w:bottom w:val="single" w:color="CCCCCC" w:sz="1"/>
              <w:right w:val="single" w:color="CCCCCC" w:sz="1"/>
            </w:tcBorders>
            <w:shd w:fill="1F4E79" w:val="clear"/>
            <w:tcMar>
              <w:top w:type="dxa" w:w="100"/>
              <w:left w:type="dxa" w:w="140"/>
              <w:bottom w:type="dxa" w:w="100"/>
              <w:right w:type="dxa" w:w="140"/>
            </w:tcMar>
          </w:tcPr>
          <w:p>
            <w:r>
              <w:rPr>
                <w:rFonts w:ascii="Arial" w:cs="Arial" w:eastAsia="Arial" w:hAnsi="Arial"/>
                <w:b/>
                <w:bCs/>
                <w:color w:val="FFFFFF"/>
                <w:sz w:val="20"/>
                <w:szCs w:val="20"/>
              </w:rPr>
              <w:t xml:space="preserve">Node Field</w:t>
            </w:r>
          </w:p>
        </w:tc>
        <w:tc>
          <w:tcPr>
            <w:tcW w:type="dxa" w:w="6560"/>
            <w:tcBorders>
              <w:top w:val="single" w:color="CCCCCC" w:sz="1"/>
              <w:left w:val="single" w:color="CCCCCC" w:sz="1"/>
              <w:bottom w:val="single" w:color="CCCCCC" w:sz="1"/>
              <w:right w:val="single" w:color="CCCCCC" w:sz="1"/>
            </w:tcBorders>
            <w:shd w:fill="1F4E79" w:val="clear"/>
            <w:tcMar>
              <w:top w:type="dxa" w:w="100"/>
              <w:left w:type="dxa" w:w="140"/>
              <w:bottom w:type="dxa" w:w="100"/>
              <w:right w:type="dxa" w:w="140"/>
            </w:tcMar>
          </w:tcPr>
          <w:p>
            <w:r>
              <w:rPr>
                <w:rFonts w:ascii="Arial" w:cs="Arial" w:eastAsia="Arial" w:hAnsi="Arial"/>
                <w:b/>
                <w:bCs/>
                <w:color w:val="FFFFFF"/>
                <w:sz w:val="20"/>
                <w:szCs w:val="20"/>
              </w:rPr>
              <w:t xml:space="preserve">Purpose</w:t>
            </w:r>
          </w:p>
        </w:tc>
      </w:tr>
      <w:tr>
        <w:tc>
          <w:tcPr>
            <w:tcW w:type="dxa" w:w="2800"/>
            <w:tcBorders>
              <w:top w:val="single" w:color="CCCCCC" w:sz="1"/>
              <w:left w:val="single" w:color="CCCCCC" w:sz="1"/>
              <w:bottom w:val="single" w:color="CCCCCC" w:sz="1"/>
              <w:right w:val="single" w:color="CCCCCC" w:sz="1"/>
            </w:tcBorders>
            <w:shd w:fill="D6E4F0" w:val="clear"/>
            <w:tcMar>
              <w:top w:type="dxa" w:w="80"/>
              <w:left w:type="dxa" w:w="140"/>
              <w:bottom w:type="dxa" w:w="80"/>
              <w:right w:type="dxa" w:w="140"/>
            </w:tcMar>
          </w:tcPr>
          <w:p>
            <w:r>
              <w:rPr>
                <w:rFonts w:ascii="Arial" w:cs="Arial" w:eastAsia="Arial" w:hAnsi="Arial"/>
                <w:b/>
                <w:bCs/>
                <w:sz w:val="20"/>
                <w:szCs w:val="20"/>
              </w:rPr>
              <w:t xml:space="preserve">Document Hash (SHA-256)</w:t>
            </w:r>
          </w:p>
        </w:tc>
        <w:tc>
          <w:tcPr>
            <w:tcW w:type="dxa" w:w="6560"/>
            <w:tcBorders>
              <w:top w:val="single" w:color="CCCCCC" w:sz="1"/>
              <w:left w:val="single" w:color="CCCCCC" w:sz="1"/>
              <w:bottom w:val="single" w:color="CCCCCC" w:sz="1"/>
              <w:right w:val="single" w:color="CCCCCC" w:sz="1"/>
            </w:tcBorders>
            <w:shd w:fill="F8FBFF" w:val="clear"/>
            <w:tcMar>
              <w:top w:type="dxa" w:w="80"/>
              <w:left w:type="dxa" w:w="140"/>
              <w:bottom w:type="dxa" w:w="80"/>
              <w:right w:type="dxa" w:w="140"/>
            </w:tcMar>
          </w:tcPr>
          <w:p>
            <w:r>
              <w:rPr>
                <w:rFonts w:ascii="Arial" w:cs="Arial" w:eastAsia="Arial" w:hAnsi="Arial"/>
                <w:sz w:val="20"/>
                <w:szCs w:val="20"/>
              </w:rPr>
              <w:t xml:space="preserve">Tamper-proof fingerprint of the declaration as presented</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b/>
                <w:bCs/>
                <w:sz w:val="20"/>
                <w:szCs w:val="20"/>
              </w:rPr>
              <w:t xml:space="preserve">Timestamp (federated, multi-signed)</w:t>
            </w:r>
          </w:p>
        </w:tc>
        <w:tc>
          <w:tcPr>
            <w:tcW w:type="dxa" w:w="65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sz w:val="20"/>
                <w:szCs w:val="20"/>
              </w:rPr>
              <w:t xml:space="preserve">Immutable record of when the declaration entered the chain</w:t>
            </w:r>
          </w:p>
        </w:tc>
      </w:tr>
      <w:tr>
        <w:tc>
          <w:tcPr>
            <w:tcW w:type="dxa" w:w="2800"/>
            <w:tcBorders>
              <w:top w:val="single" w:color="CCCCCC" w:sz="1"/>
              <w:left w:val="single" w:color="CCCCCC" w:sz="1"/>
              <w:bottom w:val="single" w:color="CCCCCC" w:sz="1"/>
              <w:right w:val="single" w:color="CCCCCC" w:sz="1"/>
            </w:tcBorders>
            <w:shd w:fill="D6E4F0" w:val="clear"/>
            <w:tcMar>
              <w:top w:type="dxa" w:w="80"/>
              <w:left w:type="dxa" w:w="140"/>
              <w:bottom w:type="dxa" w:w="80"/>
              <w:right w:type="dxa" w:w="140"/>
            </w:tcMar>
          </w:tcPr>
          <w:p>
            <w:r>
              <w:rPr>
                <w:rFonts w:ascii="Arial" w:cs="Arial" w:eastAsia="Arial" w:hAnsi="Arial"/>
                <w:b/>
                <w:bCs/>
                <w:sz w:val="20"/>
                <w:szCs w:val="20"/>
              </w:rPr>
              <w:t xml:space="preserve">Parties Declared</w:t>
            </w:r>
          </w:p>
        </w:tc>
        <w:tc>
          <w:tcPr>
            <w:tcW w:type="dxa" w:w="6560"/>
            <w:tcBorders>
              <w:top w:val="single" w:color="CCCCCC" w:sz="1"/>
              <w:left w:val="single" w:color="CCCCCC" w:sz="1"/>
              <w:bottom w:val="single" w:color="CCCCCC" w:sz="1"/>
              <w:right w:val="single" w:color="CCCCCC" w:sz="1"/>
            </w:tcBorders>
            <w:shd w:fill="F8FBFF" w:val="clear"/>
            <w:tcMar>
              <w:top w:type="dxa" w:w="80"/>
              <w:left w:type="dxa" w:w="140"/>
              <w:bottom w:type="dxa" w:w="80"/>
              <w:right w:type="dxa" w:w="140"/>
            </w:tcMar>
          </w:tcPr>
          <w:p>
            <w:r>
              <w:rPr>
                <w:rFonts w:ascii="Arial" w:cs="Arial" w:eastAsia="Arial" w:hAnsi="Arial"/>
                <w:sz w:val="20"/>
                <w:szCs w:val="20"/>
              </w:rPr>
              <w:t xml:space="preserve">Identity and standing of all parties named in the notice</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b/>
                <w:bCs/>
                <w:sz w:val="20"/>
                <w:szCs w:val="20"/>
              </w:rPr>
              <w:t xml:space="preserve">Jurisdiction Attachments</w:t>
            </w:r>
          </w:p>
        </w:tc>
        <w:tc>
          <w:tcPr>
            <w:tcW w:type="dxa" w:w="65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sz w:val="20"/>
                <w:szCs w:val="20"/>
              </w:rPr>
              <w:t xml:space="preserve">Which governance trees the declaring party has attached to</w:t>
            </w:r>
          </w:p>
        </w:tc>
      </w:tr>
      <w:tr>
        <w:tc>
          <w:tcPr>
            <w:tcW w:type="dxa" w:w="2800"/>
            <w:tcBorders>
              <w:top w:val="single" w:color="CCCCCC" w:sz="1"/>
              <w:left w:val="single" w:color="CCCCCC" w:sz="1"/>
              <w:bottom w:val="single" w:color="CCCCCC" w:sz="1"/>
              <w:right w:val="single" w:color="CCCCCC" w:sz="1"/>
            </w:tcBorders>
            <w:shd w:fill="D6E4F0" w:val="clear"/>
            <w:tcMar>
              <w:top w:type="dxa" w:w="80"/>
              <w:left w:type="dxa" w:w="140"/>
              <w:bottom w:type="dxa" w:w="80"/>
              <w:right w:type="dxa" w:w="140"/>
            </w:tcMar>
          </w:tcPr>
          <w:p>
            <w:r>
              <w:rPr>
                <w:rFonts w:ascii="Arial" w:cs="Arial" w:eastAsia="Arial" w:hAnsi="Arial"/>
                <w:b/>
                <w:bCs/>
                <w:sz w:val="20"/>
                <w:szCs w:val="20"/>
              </w:rPr>
              <w:t xml:space="preserve">UPU Postal Reference Number</w:t>
            </w:r>
          </w:p>
        </w:tc>
        <w:tc>
          <w:tcPr>
            <w:tcW w:type="dxa" w:w="6560"/>
            <w:tcBorders>
              <w:top w:val="single" w:color="CCCCCC" w:sz="1"/>
              <w:left w:val="single" w:color="CCCCCC" w:sz="1"/>
              <w:bottom w:val="single" w:color="CCCCCC" w:sz="1"/>
              <w:right w:val="single" w:color="CCCCCC" w:sz="1"/>
            </w:tcBorders>
            <w:shd w:fill="F8FBFF" w:val="clear"/>
            <w:tcMar>
              <w:top w:type="dxa" w:w="80"/>
              <w:left w:type="dxa" w:w="140"/>
              <w:bottom w:type="dxa" w:w="80"/>
              <w:right w:type="dxa" w:w="140"/>
            </w:tcMar>
          </w:tcPr>
          <w:p>
            <w:r>
              <w:rPr>
                <w:rFonts w:ascii="Arial" w:cs="Arial" w:eastAsia="Arial" w:hAnsi="Arial"/>
                <w:sz w:val="20"/>
                <w:szCs w:val="20"/>
              </w:rPr>
              <w:t xml:space="preserve">Physical delivery tracking reference, UPU-agent-affirmed</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b/>
                <w:bCs/>
                <w:sz w:val="20"/>
                <w:szCs w:val="20"/>
              </w:rPr>
              <w:t xml:space="preserve">Scanned Delivery Confirmation</w:t>
            </w:r>
          </w:p>
        </w:tc>
        <w:tc>
          <w:tcPr>
            <w:tcW w:type="dxa" w:w="65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sz w:val="20"/>
                <w:szCs w:val="20"/>
              </w:rPr>
              <w:t xml:space="preserve">Digital record of the physical mailing and its receipt</w:t>
            </w:r>
          </w:p>
        </w:tc>
      </w:tr>
      <w:tr>
        <w:tc>
          <w:tcPr>
            <w:tcW w:type="dxa" w:w="2800"/>
            <w:tcBorders>
              <w:top w:val="single" w:color="CCCCCC" w:sz="1"/>
              <w:left w:val="single" w:color="CCCCCC" w:sz="1"/>
              <w:bottom w:val="single" w:color="CCCCCC" w:sz="1"/>
              <w:right w:val="single" w:color="CCCCCC" w:sz="1"/>
            </w:tcBorders>
            <w:shd w:fill="D6E4F0" w:val="clear"/>
            <w:tcMar>
              <w:top w:type="dxa" w:w="80"/>
              <w:left w:type="dxa" w:w="140"/>
              <w:bottom w:type="dxa" w:w="80"/>
              <w:right w:type="dxa" w:w="140"/>
            </w:tcMar>
          </w:tcPr>
          <w:p>
            <w:r>
              <w:rPr>
                <w:rFonts w:ascii="Arial" w:cs="Arial" w:eastAsia="Arial" w:hAnsi="Arial"/>
                <w:b/>
                <w:bCs/>
                <w:sz w:val="20"/>
                <w:szCs w:val="20"/>
              </w:rPr>
              <w:t xml:space="preserve">Response Status</w:t>
            </w:r>
          </w:p>
        </w:tc>
        <w:tc>
          <w:tcPr>
            <w:tcW w:type="dxa" w:w="6560"/>
            <w:tcBorders>
              <w:top w:val="single" w:color="CCCCCC" w:sz="1"/>
              <w:left w:val="single" w:color="CCCCCC" w:sz="1"/>
              <w:bottom w:val="single" w:color="CCCCCC" w:sz="1"/>
              <w:right w:val="single" w:color="CCCCCC" w:sz="1"/>
            </w:tcBorders>
            <w:shd w:fill="F8FBFF" w:val="clear"/>
            <w:tcMar>
              <w:top w:type="dxa" w:w="80"/>
              <w:left w:type="dxa" w:w="140"/>
              <w:bottom w:type="dxa" w:w="80"/>
              <w:right w:type="dxa" w:w="140"/>
            </w:tcMar>
          </w:tcPr>
          <w:p>
            <w:r>
              <w:rPr>
                <w:rFonts w:ascii="Arial" w:cs="Arial" w:eastAsia="Arial" w:hAnsi="Arial"/>
                <w:sz w:val="20"/>
                <w:szCs w:val="20"/>
              </w:rPr>
              <w:t xml:space="preserve">Open / Rebutted / Acquiesced — updated as events occur</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b/>
                <w:bCs/>
                <w:sz w:val="20"/>
                <w:szCs w:val="20"/>
              </w:rPr>
              <w:t xml:space="preserve">Link to Parent Node</w:t>
            </w:r>
          </w:p>
        </w:tc>
        <w:tc>
          <w:tcPr>
            <w:tcW w:type="dxa" w:w="65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sz w:val="20"/>
                <w:szCs w:val="20"/>
              </w:rPr>
              <w:t xml:space="preserve">Provenance chain — every node traces back to the origin</w:t>
            </w:r>
          </w:p>
        </w:tc>
      </w:tr>
    </w:tbl>
    <w:p>
      <w:r>
        <w:t xml:space="preserve"/>
      </w:r>
    </w:p>
    <w:p>
      <w:pPr>
        <w:pStyle w:val="Heading1"/>
        <w:pBdr>
          <w:bottom w:val="single" w:color="2E75B6" w:sz="8" w:space="4"/>
        </w:pBdr>
        <w:spacing w:after="200" w:before="400"/>
      </w:pPr>
      <w:r>
        <w:rPr>
          <w:rFonts w:ascii="Arial" w:cs="Arial" w:eastAsia="Arial" w:hAnsi="Arial"/>
          <w:b/>
          <w:bCs/>
          <w:color w:val="1F4E79"/>
          <w:sz w:val="36"/>
          <w:szCs w:val="36"/>
        </w:rPr>
        <w:t xml:space="preserve">Part IV: Dual-Track Notice and Provenance System</w:t>
      </w:r>
    </w:p>
    <w:p>
      <w:pPr>
        <w:pStyle w:val="Heading2"/>
        <w:spacing w:after="160" w:before="320"/>
      </w:pPr>
      <w:r>
        <w:rPr>
          <w:rFonts w:ascii="Arial" w:cs="Arial" w:eastAsia="Arial" w:hAnsi="Arial"/>
          <w:b/>
          <w:bCs/>
          <w:color w:val="2E75B6"/>
          <w:sz w:val="28"/>
          <w:szCs w:val="28"/>
        </w:rPr>
        <w:t xml:space="preserve">4.1  Why Dual-Track?</w:t>
      </w:r>
    </w:p>
    <w:p>
      <w:pPr>
        <w:spacing w:after="100" w:before="100"/>
      </w:pPr>
      <w:r>
        <w:rPr>
          <w:rFonts w:ascii="Arial" w:cs="Arial" w:eastAsia="Arial" w:hAnsi="Arial"/>
          <w:sz w:val="22"/>
          <w:szCs w:val="22"/>
        </w:rPr>
        <w:t xml:space="preserve">No single notice system is sufficient for every party in every jurisdiction. A purely digital system excludes those without digital access. A purely physical system cannot provide the tamper-proof integrity and federated verification that the modern record requires. Together, the two tracks are unassailable.</w:t>
      </w:r>
    </w:p>
    <w:p>
      <w:pPr>
        <w:pStyle w:val="Heading2"/>
        <w:spacing w:after="160" w:before="320"/>
      </w:pPr>
      <w:r>
        <w:rPr>
          <w:rFonts w:ascii="Arial" w:cs="Arial" w:eastAsia="Arial" w:hAnsi="Arial"/>
          <w:b/>
          <w:bCs/>
          <w:color w:val="2E75B6"/>
          <w:sz w:val="28"/>
          <w:szCs w:val="28"/>
        </w:rPr>
        <w:t xml:space="preserve">4.2  Track 1 — Digital Chain</w:t>
      </w:r>
    </w:p>
    <w:p>
      <w:pPr>
        <w:spacing w:after="100" w:before="100"/>
      </w:pPr>
      <w:r>
        <w:rPr>
          <w:rFonts w:ascii="Arial" w:cs="Arial" w:eastAsia="Arial" w:hAnsi="Arial"/>
          <w:sz w:val="22"/>
          <w:szCs w:val="22"/>
        </w:rPr>
        <w:t xml:space="preserve">The digital track establishes tamper-proof, publicly traversable notice:</w:t>
      </w:r>
    </w:p>
    <w:p>
      <w:pPr>
        <w:pStyle w:val="ListParagraph"/>
        <w:numPr>
          <w:ilvl w:val="0"/>
          <w:numId w:val="3"/>
        </w:numPr>
        <w:spacing w:after="60" w:before="60"/>
      </w:pPr>
      <w:r>
        <w:rPr>
          <w:rFonts w:ascii="Arial" w:cs="Arial" w:eastAsia="Arial" w:hAnsi="Arial"/>
          <w:sz w:val="22"/>
          <w:szCs w:val="22"/>
        </w:rPr>
        <w:t xml:space="preserve">Declaration is composed and signed under penalty of perjury</w:t>
      </w:r>
    </w:p>
    <w:p>
      <w:pPr>
        <w:pStyle w:val="ListParagraph"/>
        <w:numPr>
          <w:ilvl w:val="0"/>
          <w:numId w:val="3"/>
        </w:numPr>
        <w:spacing w:after="60" w:before="60"/>
      </w:pPr>
      <w:r>
        <w:rPr>
          <w:rFonts w:ascii="Arial" w:cs="Arial" w:eastAsia="Arial" w:hAnsi="Arial"/>
          <w:sz w:val="22"/>
          <w:szCs w:val="22"/>
        </w:rPr>
        <w:t xml:space="preserve">Document is hashed (SHA-256 or equivalent) — the hash locks the document at this moment</w:t>
      </w:r>
    </w:p>
    <w:p>
      <w:pPr>
        <w:pStyle w:val="ListParagraph"/>
        <w:numPr>
          <w:ilvl w:val="0"/>
          <w:numId w:val="3"/>
        </w:numPr>
        <w:spacing w:after="60" w:before="60"/>
      </w:pPr>
      <w:r>
        <w:rPr>
          <w:rFonts w:ascii="Arial" w:cs="Arial" w:eastAsia="Arial" w:hAnsi="Arial"/>
          <w:sz w:val="22"/>
          <w:szCs w:val="22"/>
        </w:rPr>
        <w:t xml:space="preserve">Declaration is published to the DOSD federated network with timestamp</w:t>
      </w:r>
    </w:p>
    <w:p>
      <w:pPr>
        <w:pStyle w:val="ListParagraph"/>
        <w:numPr>
          <w:ilvl w:val="0"/>
          <w:numId w:val="3"/>
        </w:numPr>
        <w:spacing w:after="60" w:before="60"/>
      </w:pPr>
      <w:r>
        <w:rPr>
          <w:rFonts w:ascii="Arial" w:cs="Arial" w:eastAsia="Arial" w:hAnsi="Arial"/>
          <w:sz w:val="22"/>
          <w:szCs w:val="22"/>
        </w:rPr>
        <w:t xml:space="preserve">A DOSD linktree node is generated, embedding the hash and extending the chain</w:t>
      </w:r>
    </w:p>
    <w:p>
      <w:pPr>
        <w:pStyle w:val="ListParagraph"/>
        <w:numPr>
          <w:ilvl w:val="0"/>
          <w:numId w:val="3"/>
        </w:numPr>
        <w:spacing w:after="60" w:before="60"/>
      </w:pPr>
      <w:r>
        <w:rPr>
          <w:rFonts w:ascii="Arial" w:cs="Arial" w:eastAsia="Arial" w:hAnsi="Arial"/>
          <w:sz w:val="22"/>
          <w:szCs w:val="22"/>
        </w:rPr>
        <w:t xml:space="preserve">The node is signed by federation relays — multi-party corroboration</w:t>
      </w:r>
    </w:p>
    <w:p>
      <w:pPr>
        <w:pStyle w:val="Heading2"/>
        <w:spacing w:after="160" w:before="320"/>
      </w:pPr>
      <w:r>
        <w:rPr>
          <w:rFonts w:ascii="Arial" w:cs="Arial" w:eastAsia="Arial" w:hAnsi="Arial"/>
          <w:b/>
          <w:bCs/>
          <w:color w:val="2E75B6"/>
          <w:sz w:val="28"/>
          <w:szCs w:val="28"/>
        </w:rPr>
        <w:t xml:space="preserve">4.3  Track 2 — Physical Record (UPU)</w:t>
      </w:r>
    </w:p>
    <w:p>
      <w:pPr>
        <w:spacing w:after="100" w:before="100"/>
      </w:pPr>
      <w:r>
        <w:rPr>
          <w:rFonts w:ascii="Arial" w:cs="Arial" w:eastAsia="Arial" w:hAnsi="Arial"/>
          <w:sz w:val="22"/>
          <w:szCs w:val="22"/>
        </w:rPr>
        <w:t xml:space="preserve">The Universal Postal Union is a UN specialized agency recognized across virtually every jurisdiction in the world. UPU agents operate outside any single nation's digital infrastructure, and their affirmation of delivery constitutes internationally recognized evidence of notice.</w:t>
      </w:r>
    </w:p>
    <w:p>
      <w:pPr>
        <w:pStyle w:val="ListParagraph"/>
        <w:numPr>
          <w:ilvl w:val="0"/>
          <w:numId w:val="3"/>
        </w:numPr>
        <w:spacing w:after="60" w:before="60"/>
      </w:pPr>
      <w:r>
        <w:rPr>
          <w:rFonts w:ascii="Arial" w:cs="Arial" w:eastAsia="Arial" w:hAnsi="Arial"/>
          <w:sz w:val="22"/>
          <w:szCs w:val="22"/>
        </w:rPr>
        <w:t xml:space="preserve">The declaration document is scanned in its final hashed form before mailing</w:t>
      </w:r>
    </w:p>
    <w:p>
      <w:pPr>
        <w:pStyle w:val="ListParagraph"/>
        <w:numPr>
          <w:ilvl w:val="0"/>
          <w:numId w:val="3"/>
        </w:numPr>
        <w:spacing w:after="60" w:before="60"/>
      </w:pPr>
      <w:r>
        <w:rPr>
          <w:rFonts w:ascii="Arial" w:cs="Arial" w:eastAsia="Arial" w:hAnsi="Arial"/>
          <w:sz w:val="22"/>
          <w:szCs w:val="22"/>
        </w:rPr>
        <w:t xml:space="preserve">The document is sent by certified or tracked mail through the UPU network</w:t>
      </w:r>
    </w:p>
    <w:p>
      <w:pPr>
        <w:pStyle w:val="ListParagraph"/>
        <w:numPr>
          <w:ilvl w:val="0"/>
          <w:numId w:val="3"/>
        </w:numPr>
        <w:spacing w:after="60" w:before="60"/>
      </w:pPr>
      <w:r>
        <w:rPr>
          <w:rFonts w:ascii="Arial" w:cs="Arial" w:eastAsia="Arial" w:hAnsi="Arial"/>
          <w:sz w:val="22"/>
          <w:szCs w:val="22"/>
        </w:rPr>
        <w:t xml:space="preserve">Delivery is tracked and agent-affirmed — a third-party witness to the presentation</w:t>
      </w:r>
    </w:p>
    <w:p>
      <w:pPr>
        <w:pStyle w:val="ListParagraph"/>
        <w:numPr>
          <w:ilvl w:val="0"/>
          <w:numId w:val="3"/>
        </w:numPr>
        <w:spacing w:after="60" w:before="60"/>
      </w:pPr>
      <w:r>
        <w:rPr>
          <w:rFonts w:ascii="Arial" w:cs="Arial" w:eastAsia="Arial" w:hAnsi="Arial"/>
          <w:sz w:val="22"/>
          <w:szCs w:val="22"/>
        </w:rPr>
        <w:t xml:space="preserve">The postal reference number and scanned confirmation are embedded in the DOSD node</w:t>
      </w:r>
    </w:p>
    <w:p>
      <w:pPr>
        <w:spacing w:after="100" w:before="100"/>
      </w:pPr>
      <w:r>
        <w:rPr>
          <w:rFonts w:ascii="Arial" w:cs="Arial" w:eastAsia="Arial" w:hAnsi="Arial"/>
          <w:sz w:val="22"/>
          <w:szCs w:val="22"/>
        </w:rPr>
        <w:t xml:space="preserve">For any party who claims they do not participate in the digital framework — the UPU record reaches them anyway. DOSD establishes notice in the language of every framework simultaneously.</w:t>
      </w:r>
    </w:p>
    <w:p>
      <w:pPr>
        <w:pStyle w:val="Heading2"/>
        <w:spacing w:after="160" w:before="320"/>
      </w:pPr>
      <w:r>
        <w:rPr>
          <w:rFonts w:ascii="Arial" w:cs="Arial" w:eastAsia="Arial" w:hAnsi="Arial"/>
          <w:b/>
          <w:bCs/>
          <w:color w:val="2E75B6"/>
          <w:sz w:val="28"/>
          <w:szCs w:val="28"/>
        </w:rPr>
        <w:t xml:space="preserve">4.4  UCC 2-201: Reason to Know</w:t>
      </w:r>
    </w:p>
    <w:p>
      <w:pPr>
        <w:spacing w:after="100" w:before="100"/>
      </w:pPr>
      <w:r>
        <w:rPr>
          <w:rFonts w:ascii="Arial" w:cs="Arial" w:eastAsia="Arial" w:hAnsi="Arial"/>
          <w:sz w:val="22"/>
          <w:szCs w:val="22"/>
        </w:rPr>
        <w:t xml:space="preserve">When both tracks are complete, the receiving party has been given reason to know of the contents of the declaration within the meaning of UCC 2-201. From this point, ignorance is not a defense. The acquiescence clock begins. The maxims apply.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CCCCC" w:sz="1"/>
              <w:left w:val="single" w:color="CCCCCC" w:sz="1"/>
              <w:bottom w:val="single" w:color="CCCCCC" w:sz="1"/>
              <w:right w:val="single" w:color="CCCCCC" w:sz="1"/>
            </w:tcBorders>
            <w:shd w:fill="1F4E79" w:val="clear"/>
            <w:tcMar>
              <w:top w:type="dxa" w:w="100"/>
              <w:left w:type="dxa" w:w="140"/>
              <w:bottom w:type="dxa" w:w="100"/>
              <w:right w:type="dxa" w:w="140"/>
            </w:tcMar>
          </w:tcPr>
          <w:p>
            <w:r>
              <w:rPr>
                <w:rFonts w:ascii="Arial" w:cs="Arial" w:eastAsia="Arial" w:hAnsi="Arial"/>
                <w:b/>
                <w:bCs/>
                <w:color w:val="FFFFFF"/>
                <w:sz w:val="20"/>
                <w:szCs w:val="20"/>
              </w:rPr>
              <w:t xml:space="preserve">Scenario</w:t>
            </w:r>
          </w:p>
        </w:tc>
        <w:tc>
          <w:tcPr>
            <w:tcW w:type="dxa" w:w="4680"/>
            <w:tcBorders>
              <w:top w:val="single" w:color="CCCCCC" w:sz="1"/>
              <w:left w:val="single" w:color="CCCCCC" w:sz="1"/>
              <w:bottom w:val="single" w:color="CCCCCC" w:sz="1"/>
              <w:right w:val="single" w:color="CCCCCC" w:sz="1"/>
            </w:tcBorders>
            <w:shd w:fill="1F4E79" w:val="clear"/>
            <w:tcMar>
              <w:top w:type="dxa" w:w="100"/>
              <w:left w:type="dxa" w:w="140"/>
              <w:bottom w:type="dxa" w:w="100"/>
              <w:right w:type="dxa" w:w="140"/>
            </w:tcMar>
          </w:tcPr>
          <w:p>
            <w:r>
              <w:rPr>
                <w:rFonts w:ascii="Arial" w:cs="Arial" w:eastAsia="Arial" w:hAnsi="Arial"/>
                <w:b/>
                <w:bCs/>
                <w:color w:val="FFFFFF"/>
                <w:sz w:val="20"/>
                <w:szCs w:val="20"/>
              </w:rPr>
              <w:t xml:space="preserve">Combined Track Result</w:t>
            </w:r>
          </w:p>
        </w:tc>
      </w:tr>
      <w:tr>
        <w:tc>
          <w:tcPr>
            <w:tcW w:type="dxa" w:w="4680"/>
            <w:tcBorders>
              <w:top w:val="single" w:color="CCCCCC" w:sz="1"/>
              <w:left w:val="single" w:color="CCCCCC" w:sz="1"/>
              <w:bottom w:val="single" w:color="CCCCCC" w:sz="1"/>
              <w:right w:val="single" w:color="CCCCCC" w:sz="1"/>
            </w:tcBorders>
            <w:shd w:fill="D6E4F0" w:val="clear"/>
            <w:tcMar>
              <w:top w:type="dxa" w:w="80"/>
              <w:left w:type="dxa" w:w="140"/>
              <w:bottom w:type="dxa" w:w="80"/>
              <w:right w:type="dxa" w:w="140"/>
            </w:tcMar>
          </w:tcPr>
          <w:p>
            <w:r>
              <w:rPr>
                <w:rFonts w:ascii="Arial" w:cs="Arial" w:eastAsia="Arial" w:hAnsi="Arial"/>
                <w:b/>
                <w:bCs/>
                <w:sz w:val="20"/>
                <w:szCs w:val="20"/>
              </w:rPr>
              <w:t xml:space="preserve">Recipient claims no digital access</w:t>
            </w:r>
          </w:p>
        </w:tc>
        <w:tc>
          <w:tcPr>
            <w:tcW w:type="dxa" w:w="46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sz w:val="20"/>
                <w:szCs w:val="20"/>
              </w:rPr>
              <w:t xml:space="preserve">UPU physical record is independently sufficient</w:t>
            </w:r>
          </w:p>
        </w:tc>
      </w:tr>
      <w:tr>
        <w:tc>
          <w:tcPr>
            <w:tcW w:type="dxa" w:w="4680"/>
            <w:tcBorders>
              <w:top w:val="single" w:color="CCCCCC" w:sz="1"/>
              <w:left w:val="single" w:color="CCCCCC" w:sz="1"/>
              <w:bottom w:val="single" w:color="CCCCCC" w:sz="1"/>
              <w:right w:val="single" w:color="CCCCCC" w:sz="1"/>
            </w:tcBorders>
            <w:shd w:fill="D6E4F0" w:val="clear"/>
            <w:tcMar>
              <w:top w:type="dxa" w:w="80"/>
              <w:left w:type="dxa" w:w="140"/>
              <w:bottom w:type="dxa" w:w="80"/>
              <w:right w:type="dxa" w:w="140"/>
            </w:tcMar>
          </w:tcPr>
          <w:p>
            <w:r>
              <w:rPr>
                <w:rFonts w:ascii="Arial" w:cs="Arial" w:eastAsia="Arial" w:hAnsi="Arial"/>
                <w:b/>
                <w:bCs/>
                <w:sz w:val="20"/>
                <w:szCs w:val="20"/>
              </w:rPr>
              <w:t xml:space="preserve">Recipient disputes document integrity</w:t>
            </w:r>
          </w:p>
        </w:tc>
        <w:tc>
          <w:tcPr>
            <w:tcW w:type="dxa" w:w="46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sz w:val="20"/>
                <w:szCs w:val="20"/>
              </w:rPr>
              <w:t xml:space="preserve">Hash proves original; scan proves delivery — unrebuttable</w:t>
            </w:r>
          </w:p>
        </w:tc>
      </w:tr>
      <w:tr>
        <w:tc>
          <w:tcPr>
            <w:tcW w:type="dxa" w:w="4680"/>
            <w:tcBorders>
              <w:top w:val="single" w:color="CCCCCC" w:sz="1"/>
              <w:left w:val="single" w:color="CCCCCC" w:sz="1"/>
              <w:bottom w:val="single" w:color="CCCCCC" w:sz="1"/>
              <w:right w:val="single" w:color="CCCCCC" w:sz="1"/>
            </w:tcBorders>
            <w:shd w:fill="D6E4F0" w:val="clear"/>
            <w:tcMar>
              <w:top w:type="dxa" w:w="80"/>
              <w:left w:type="dxa" w:w="140"/>
              <w:bottom w:type="dxa" w:w="80"/>
              <w:right w:type="dxa" w:w="140"/>
            </w:tcMar>
          </w:tcPr>
          <w:p>
            <w:r>
              <w:rPr>
                <w:rFonts w:ascii="Arial" w:cs="Arial" w:eastAsia="Arial" w:hAnsi="Arial"/>
                <w:b/>
                <w:bCs/>
                <w:sz w:val="20"/>
                <w:szCs w:val="20"/>
              </w:rPr>
              <w:t xml:space="preserve">Jurisdiction disputes digital validity</w:t>
            </w:r>
          </w:p>
        </w:tc>
        <w:tc>
          <w:tcPr>
            <w:tcW w:type="dxa" w:w="46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sz w:val="20"/>
                <w:szCs w:val="20"/>
              </w:rPr>
              <w:t xml:space="preserve">UPU is UN-recognized across all jurisdictions</w:t>
            </w:r>
          </w:p>
        </w:tc>
      </w:tr>
      <w:tr>
        <w:tc>
          <w:tcPr>
            <w:tcW w:type="dxa" w:w="4680"/>
            <w:tcBorders>
              <w:top w:val="single" w:color="CCCCCC" w:sz="1"/>
              <w:left w:val="single" w:color="CCCCCC" w:sz="1"/>
              <w:bottom w:val="single" w:color="CCCCCC" w:sz="1"/>
              <w:right w:val="single" w:color="CCCCCC" w:sz="1"/>
            </w:tcBorders>
            <w:shd w:fill="D6E4F0" w:val="clear"/>
            <w:tcMar>
              <w:top w:type="dxa" w:w="80"/>
              <w:left w:type="dxa" w:w="140"/>
              <w:bottom w:type="dxa" w:w="80"/>
              <w:right w:type="dxa" w:w="140"/>
            </w:tcMar>
          </w:tcPr>
          <w:p>
            <w:r>
              <w:rPr>
                <w:rFonts w:ascii="Arial" w:cs="Arial" w:eastAsia="Arial" w:hAnsi="Arial"/>
                <w:b/>
                <w:bCs/>
                <w:sz w:val="20"/>
                <w:szCs w:val="20"/>
              </w:rPr>
              <w:t xml:space="preserve">Recipient claims no knowledge</w:t>
            </w:r>
          </w:p>
        </w:tc>
        <w:tc>
          <w:tcPr>
            <w:tcW w:type="dxa" w:w="46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sz w:val="20"/>
                <w:szCs w:val="20"/>
              </w:rPr>
              <w:t xml:space="preserve">Both records are public — reason to know is established</w:t>
            </w:r>
          </w:p>
        </w:tc>
      </w:tr>
      <w:tr>
        <w:tc>
          <w:tcPr>
            <w:tcW w:type="dxa" w:w="4680"/>
            <w:tcBorders>
              <w:top w:val="single" w:color="CCCCCC" w:sz="1"/>
              <w:left w:val="single" w:color="CCCCCC" w:sz="1"/>
              <w:bottom w:val="single" w:color="CCCCCC" w:sz="1"/>
              <w:right w:val="single" w:color="CCCCCC" w:sz="1"/>
            </w:tcBorders>
            <w:shd w:fill="D6E4F0" w:val="clear"/>
            <w:tcMar>
              <w:top w:type="dxa" w:w="80"/>
              <w:left w:type="dxa" w:w="140"/>
              <w:bottom w:type="dxa" w:w="80"/>
              <w:right w:type="dxa" w:w="140"/>
            </w:tcMar>
          </w:tcPr>
          <w:p>
            <w:r>
              <w:rPr>
                <w:rFonts w:ascii="Arial" w:cs="Arial" w:eastAsia="Arial" w:hAnsi="Arial"/>
                <w:b/>
                <w:bCs/>
                <w:sz w:val="20"/>
                <w:szCs w:val="20"/>
              </w:rPr>
              <w:t xml:space="preserve">Document altered after delivery</w:t>
            </w:r>
          </w:p>
        </w:tc>
        <w:tc>
          <w:tcPr>
            <w:tcW w:type="dxa" w:w="46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sz w:val="20"/>
                <w:szCs w:val="20"/>
              </w:rPr>
              <w:t xml:space="preserve">Hash mismatch detected; original scan preserved — fraud exposed</w:t>
            </w:r>
          </w:p>
        </w:tc>
      </w:tr>
    </w:tbl>
    <w:p>
      <w:r>
        <w:t xml:space="preserve"/>
      </w:r>
    </w:p>
    <w:p>
      <w:pPr>
        <w:pStyle w:val="Heading1"/>
        <w:pBdr>
          <w:bottom w:val="single" w:color="2E75B6" w:sz="8" w:space="4"/>
        </w:pBdr>
        <w:spacing w:after="200" w:before="400"/>
      </w:pPr>
      <w:r>
        <w:rPr>
          <w:rFonts w:ascii="Arial" w:cs="Arial" w:eastAsia="Arial" w:hAnsi="Arial"/>
          <w:b/>
          <w:bCs/>
          <w:color w:val="1F4E79"/>
          <w:sz w:val="36"/>
          <w:szCs w:val="36"/>
        </w:rPr>
        <w:t xml:space="preserve">Part V: White Flag and Escalation Protocol</w:t>
      </w:r>
    </w:p>
    <w:p>
      <w:pPr>
        <w:pStyle w:val="Heading2"/>
        <w:spacing w:after="160" w:before="320"/>
      </w:pPr>
      <w:r>
        <w:rPr>
          <w:rFonts w:ascii="Arial" w:cs="Arial" w:eastAsia="Arial" w:hAnsi="Arial"/>
          <w:b/>
          <w:bCs/>
          <w:color w:val="2E75B6"/>
          <w:sz w:val="28"/>
          <w:szCs w:val="28"/>
        </w:rPr>
        <w:t xml:space="preserve">5.1  What the White Flag Means</w:t>
      </w:r>
    </w:p>
    <w:p>
      <w:pPr>
        <w:spacing w:after="100" w:before="100"/>
      </w:pPr>
      <w:r>
        <w:rPr>
          <w:rFonts w:ascii="Arial" w:cs="Arial" w:eastAsia="Arial" w:hAnsi="Arial"/>
          <w:sz w:val="22"/>
          <w:szCs w:val="22"/>
        </w:rPr>
        <w:t xml:space="preserve">DOSD-WF (White Flag) is a peaceful communication and mediation signaling system. The white flag in DOSD means:</w:t>
      </w:r>
    </w:p>
    <w:p>
      <w:pPr>
        <w:pStyle w:val="ListParagraph"/>
        <w:numPr>
          <w:ilvl w:val="0"/>
          <w:numId w:val="2"/>
        </w:numPr>
        <w:spacing w:after="60" w:before="60"/>
      </w:pPr>
      <w:r>
        <w:rPr>
          <w:rFonts w:ascii="Arial" w:cs="Arial" w:eastAsia="Arial" w:hAnsi="Arial"/>
          <w:sz w:val="22"/>
          <w:szCs w:val="22"/>
        </w:rPr>
        <w:t xml:space="preserve">A request for communication</w:t>
      </w:r>
    </w:p>
    <w:p>
      <w:pPr>
        <w:pStyle w:val="ListParagraph"/>
        <w:numPr>
          <w:ilvl w:val="0"/>
          <w:numId w:val="2"/>
        </w:numPr>
        <w:spacing w:after="60" w:before="60"/>
      </w:pPr>
      <w:r>
        <w:rPr>
          <w:rFonts w:ascii="Arial" w:cs="Arial" w:eastAsia="Arial" w:hAnsi="Arial"/>
          <w:sz w:val="22"/>
          <w:szCs w:val="22"/>
        </w:rPr>
        <w:t xml:space="preserve">A request for peaceful review</w:t>
      </w:r>
    </w:p>
    <w:p>
      <w:pPr>
        <w:pStyle w:val="ListParagraph"/>
        <w:numPr>
          <w:ilvl w:val="0"/>
          <w:numId w:val="2"/>
        </w:numPr>
        <w:spacing w:after="60" w:before="60"/>
      </w:pPr>
      <w:r>
        <w:rPr>
          <w:rFonts w:ascii="Arial" w:cs="Arial" w:eastAsia="Arial" w:hAnsi="Arial"/>
          <w:sz w:val="22"/>
          <w:szCs w:val="22"/>
        </w:rPr>
        <w:t xml:space="preserve">A request for mediation</w:t>
      </w:r>
    </w:p>
    <w:p>
      <w:pPr>
        <w:spacing w:after="100" w:before="100"/>
      </w:pPr>
      <w:r>
        <w:rPr>
          <w:rFonts w:ascii="Arial" w:cs="Arial" w:eastAsia="Arial" w:hAnsi="Arial"/>
          <w:sz w:val="22"/>
          <w:szCs w:val="22"/>
        </w:rPr>
        <w:t xml:space="preserve">The white flag does not mean surrender. DOSD escalation is notice, not aggression. The peace table is always open.</w:t>
      </w:r>
    </w:p>
    <w:p>
      <w:pPr>
        <w:pStyle w:val="Heading2"/>
        <w:spacing w:after="160" w:before="320"/>
      </w:pPr>
      <w:r>
        <w:rPr>
          <w:rFonts w:ascii="Arial" w:cs="Arial" w:eastAsia="Arial" w:hAnsi="Arial"/>
          <w:b/>
          <w:bCs/>
          <w:color w:val="2E75B6"/>
          <w:sz w:val="28"/>
          <w:szCs w:val="28"/>
        </w:rPr>
        <w:t xml:space="preserve">5.2  DOSD-NCP: Notice, Chain, and Provenance — Escalation Tiers</w:t>
      </w:r>
    </w:p>
    <w:p>
      <w:pPr>
        <w:spacing w:after="100" w:before="100"/>
      </w:pPr>
      <w:r>
        <w:rPr>
          <w:rFonts w:ascii="Arial" w:cs="Arial" w:eastAsia="Arial" w:hAnsi="Arial"/>
          <w:sz w:val="22"/>
          <w:szCs w:val="22"/>
        </w:rPr>
        <w:t xml:space="preserve">Each tier simultaneously establishes provenance, standing, and contract. At every point, response is rewarded with immediate de-escalation. The record documents every event regardless of the counterparty's choice.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1500"/>
        <w:gridCol w:w="2200"/>
        <w:gridCol w:w="2200"/>
        <w:gridCol w:w="2060"/>
      </w:tblGrid>
      <w:tr>
        <w:tc>
          <w:tcPr>
            <w:tcW w:type="dxa" w:w="1400"/>
            <w:tcBorders>
              <w:top w:val="single" w:color="CCCCCC" w:sz="1"/>
              <w:left w:val="single" w:color="CCCCCC" w:sz="1"/>
              <w:bottom w:val="single" w:color="CCCCCC" w:sz="1"/>
              <w:right w:val="single" w:color="CCCCCC" w:sz="1"/>
            </w:tcBorders>
            <w:shd w:fill="1F4E79" w:val="clear"/>
            <w:tcMar>
              <w:top w:type="dxa" w:w="100"/>
              <w:left w:type="dxa" w:w="100"/>
              <w:bottom w:type="dxa" w:w="100"/>
              <w:right w:type="dxa" w:w="100"/>
            </w:tcMar>
          </w:tcPr>
          <w:p>
            <w:r>
              <w:rPr>
                <w:rFonts w:ascii="Arial" w:cs="Arial" w:eastAsia="Arial" w:hAnsi="Arial"/>
                <w:b/>
                <w:bCs/>
                <w:color w:val="FFFFFF"/>
                <w:sz w:val="18"/>
                <w:szCs w:val="18"/>
              </w:rPr>
              <w:t xml:space="preserve">Tier</w:t>
            </w:r>
          </w:p>
        </w:tc>
        <w:tc>
          <w:tcPr>
            <w:tcW w:type="dxa" w:w="1500"/>
            <w:tcBorders>
              <w:top w:val="single" w:color="CCCCCC" w:sz="1"/>
              <w:left w:val="single" w:color="CCCCCC" w:sz="1"/>
              <w:bottom w:val="single" w:color="CCCCCC" w:sz="1"/>
              <w:right w:val="single" w:color="CCCCCC" w:sz="1"/>
            </w:tcBorders>
            <w:shd w:fill="1F4E79" w:val="clear"/>
            <w:tcMar>
              <w:top w:type="dxa" w:w="100"/>
              <w:left w:type="dxa" w:w="100"/>
              <w:bottom w:type="dxa" w:w="100"/>
              <w:right w:type="dxa" w:w="100"/>
            </w:tcMar>
          </w:tcPr>
          <w:p>
            <w:r>
              <w:rPr>
                <w:rFonts w:ascii="Arial" w:cs="Arial" w:eastAsia="Arial" w:hAnsi="Arial"/>
                <w:b/>
                <w:bCs/>
                <w:color w:val="FFFFFF"/>
                <w:sz w:val="18"/>
                <w:szCs w:val="18"/>
              </w:rPr>
              <w:t xml:space="preserve">Trigger</w:t>
            </w:r>
          </w:p>
        </w:tc>
        <w:tc>
          <w:tcPr>
            <w:tcW w:type="dxa" w:w="2200"/>
            <w:tcBorders>
              <w:top w:val="single" w:color="CCCCCC" w:sz="1"/>
              <w:left w:val="single" w:color="CCCCCC" w:sz="1"/>
              <w:bottom w:val="single" w:color="CCCCCC" w:sz="1"/>
              <w:right w:val="single" w:color="CCCCCC" w:sz="1"/>
            </w:tcBorders>
            <w:shd w:fill="1F4E79" w:val="clear"/>
            <w:tcMar>
              <w:top w:type="dxa" w:w="100"/>
              <w:left w:type="dxa" w:w="100"/>
              <w:bottom w:type="dxa" w:w="100"/>
              <w:right w:type="dxa" w:w="100"/>
            </w:tcMar>
          </w:tcPr>
          <w:p>
            <w:r>
              <w:rPr>
                <w:rFonts w:ascii="Arial" w:cs="Arial" w:eastAsia="Arial" w:hAnsi="Arial"/>
                <w:b/>
                <w:bCs/>
                <w:color w:val="FFFFFF"/>
                <w:sz w:val="18"/>
                <w:szCs w:val="18"/>
              </w:rPr>
              <w:t xml:space="preserve">Action</w:t>
            </w:r>
          </w:p>
        </w:tc>
        <w:tc>
          <w:tcPr>
            <w:tcW w:type="dxa" w:w="2200"/>
            <w:tcBorders>
              <w:top w:val="single" w:color="CCCCCC" w:sz="1"/>
              <w:left w:val="single" w:color="CCCCCC" w:sz="1"/>
              <w:bottom w:val="single" w:color="CCCCCC" w:sz="1"/>
              <w:right w:val="single" w:color="CCCCCC" w:sz="1"/>
            </w:tcBorders>
            <w:shd w:fill="1F4E79" w:val="clear"/>
            <w:tcMar>
              <w:top w:type="dxa" w:w="100"/>
              <w:left w:type="dxa" w:w="100"/>
              <w:bottom w:type="dxa" w:w="100"/>
              <w:right w:type="dxa" w:w="100"/>
            </w:tcMar>
          </w:tcPr>
          <w:p>
            <w:r>
              <w:rPr>
                <w:rFonts w:ascii="Arial" w:cs="Arial" w:eastAsia="Arial" w:hAnsi="Arial"/>
                <w:b/>
                <w:bCs/>
                <w:color w:val="FFFFFF"/>
                <w:sz w:val="18"/>
                <w:szCs w:val="18"/>
              </w:rPr>
              <w:t xml:space="preserve">Maxims Activated</w:t>
            </w:r>
          </w:p>
        </w:tc>
        <w:tc>
          <w:tcPr>
            <w:tcW w:type="dxa" w:w="2060"/>
            <w:tcBorders>
              <w:top w:val="single" w:color="CCCCCC" w:sz="1"/>
              <w:left w:val="single" w:color="CCCCCC" w:sz="1"/>
              <w:bottom w:val="single" w:color="CCCCCC" w:sz="1"/>
              <w:right w:val="single" w:color="CCCCCC" w:sz="1"/>
            </w:tcBorders>
            <w:shd w:fill="1F4E79" w:val="clear"/>
            <w:tcMar>
              <w:top w:type="dxa" w:w="100"/>
              <w:left w:type="dxa" w:w="100"/>
              <w:bottom w:type="dxa" w:w="100"/>
              <w:right w:type="dxa" w:w="100"/>
            </w:tcMar>
          </w:tcPr>
          <w:p>
            <w:r>
              <w:rPr>
                <w:rFonts w:ascii="Arial" w:cs="Arial" w:eastAsia="Arial" w:hAnsi="Arial"/>
                <w:b/>
                <w:bCs/>
                <w:color w:val="FFFFFF"/>
                <w:sz w:val="18"/>
                <w:szCs w:val="18"/>
              </w:rPr>
              <w:t xml:space="preserve">Audience</w:t>
            </w:r>
          </w:p>
        </w:tc>
      </w:tr>
      <w:tr>
        <w:tc>
          <w:tcPr>
            <w:tcW w:type="dxa" w:w="1400"/>
            <w:tcBorders>
              <w:top w:val="single" w:color="CCCCCC" w:sz="1"/>
              <w:left w:val="single" w:color="CCCCCC" w:sz="1"/>
              <w:bottom w:val="single" w:color="CCCCCC" w:sz="1"/>
              <w:right w:val="single" w:color="CCCCCC" w:sz="1"/>
            </w:tcBorders>
            <w:shd w:fill="F0F6FC" w:val="clear"/>
            <w:tcMar>
              <w:top w:type="dxa" w:w="80"/>
              <w:left w:type="dxa" w:w="100"/>
              <w:bottom w:type="dxa" w:w="80"/>
              <w:right w:type="dxa" w:w="100"/>
            </w:tcMar>
          </w:tcPr>
          <w:p>
            <w:r>
              <w:rPr>
                <w:rFonts w:ascii="Arial" w:cs="Arial" w:eastAsia="Arial" w:hAnsi="Arial"/>
                <w:sz w:val="18"/>
                <w:szCs w:val="18"/>
              </w:rPr>
              <w:t xml:space="preserve">NRP-1
Declaration</w:t>
            </w:r>
          </w:p>
        </w:tc>
        <w:tc>
          <w:tcPr>
            <w:tcW w:type="dxa" w:w="1500"/>
            <w:tcBorders>
              <w:top w:val="single" w:color="CCCCCC" w:sz="1"/>
              <w:left w:val="single" w:color="CCCCCC" w:sz="1"/>
              <w:bottom w:val="single" w:color="CCCCCC" w:sz="1"/>
              <w:right w:val="single" w:color="CCCCCC" w:sz="1"/>
            </w:tcBorders>
            <w:shd w:fill="F0F6FC" w:val="clear"/>
            <w:tcMar>
              <w:top w:type="dxa" w:w="80"/>
              <w:left w:type="dxa" w:w="100"/>
              <w:bottom w:type="dxa" w:w="80"/>
              <w:right w:type="dxa" w:w="100"/>
            </w:tcMar>
          </w:tcPr>
          <w:p>
            <w:r>
              <w:rPr>
                <w:rFonts w:ascii="Arial" w:cs="Arial" w:eastAsia="Arial" w:hAnsi="Arial"/>
                <w:sz w:val="18"/>
                <w:szCs w:val="18"/>
              </w:rPr>
              <w:t xml:space="preserve">White flag raised; dual-track notice initiated</w:t>
            </w:r>
          </w:p>
        </w:tc>
        <w:tc>
          <w:tcPr>
            <w:tcW w:type="dxa" w:w="2200"/>
            <w:tcBorders>
              <w:top w:val="single" w:color="CCCCCC" w:sz="1"/>
              <w:left w:val="single" w:color="CCCCCC" w:sz="1"/>
              <w:bottom w:val="single" w:color="CCCCCC" w:sz="1"/>
              <w:right w:val="single" w:color="CCCCCC" w:sz="1"/>
            </w:tcBorders>
            <w:shd w:fill="F0F6FC" w:val="clear"/>
            <w:tcMar>
              <w:top w:type="dxa" w:w="80"/>
              <w:left w:type="dxa" w:w="100"/>
              <w:bottom w:type="dxa" w:w="80"/>
              <w:right w:type="dxa" w:w="100"/>
            </w:tcMar>
          </w:tcPr>
          <w:p>
            <w:r>
              <w:rPr>
                <w:rFonts w:ascii="Arial" w:cs="Arial" w:eastAsia="Arial" w:hAnsi="Arial"/>
                <w:sz w:val="18"/>
                <w:szCs w:val="18"/>
              </w:rPr>
              <w:t xml:space="preserve">Signed affidavit published under penalty of perjury; digital hash generated; UPU mailing sent</w:t>
            </w:r>
          </w:p>
        </w:tc>
        <w:tc>
          <w:tcPr>
            <w:tcW w:type="dxa" w:w="2200"/>
            <w:tcBorders>
              <w:top w:val="single" w:color="CCCCCC" w:sz="1"/>
              <w:left w:val="single" w:color="CCCCCC" w:sz="1"/>
              <w:bottom w:val="single" w:color="CCCCCC" w:sz="1"/>
              <w:right w:val="single" w:color="CCCCCC" w:sz="1"/>
            </w:tcBorders>
            <w:shd w:fill="F0F6FC" w:val="clear"/>
            <w:tcMar>
              <w:top w:type="dxa" w:w="80"/>
              <w:left w:type="dxa" w:w="100"/>
              <w:bottom w:type="dxa" w:w="80"/>
              <w:right w:type="dxa" w:w="100"/>
            </w:tcMar>
          </w:tcPr>
          <w:p>
            <w:r>
              <w:rPr>
                <w:rFonts w:ascii="Arial" w:cs="Arial" w:eastAsia="Arial" w:hAnsi="Arial"/>
                <w:sz w:val="18"/>
                <w:szCs w:val="18"/>
              </w:rPr>
              <w:t xml:space="preserve">Maxims 3, 4 — Truth is sovereign; truth expressed as affidavit</w:t>
            </w:r>
          </w:p>
        </w:tc>
        <w:tc>
          <w:tcPr>
            <w:tcW w:type="dxa" w:w="2060"/>
            <w:tcBorders>
              <w:top w:val="single" w:color="CCCCCC" w:sz="1"/>
              <w:left w:val="single" w:color="CCCCCC" w:sz="1"/>
              <w:bottom w:val="single" w:color="CCCCCC" w:sz="1"/>
              <w:right w:val="single" w:color="CCCCCC" w:sz="1"/>
            </w:tcBorders>
            <w:shd w:fill="F0F6FC" w:val="clear"/>
            <w:tcMar>
              <w:top w:type="dxa" w:w="80"/>
              <w:left w:type="dxa" w:w="100"/>
              <w:bottom w:type="dxa" w:w="80"/>
              <w:right w:type="dxa" w:w="100"/>
            </w:tcMar>
          </w:tcPr>
          <w:p>
            <w:r>
              <w:rPr>
                <w:rFonts w:ascii="Arial" w:cs="Arial" w:eastAsia="Arial" w:hAnsi="Arial"/>
                <w:sz w:val="18"/>
                <w:szCs w:val="18"/>
              </w:rPr>
              <w:t xml:space="preserve">Initiating party + named mediator</w:t>
            </w:r>
          </w:p>
        </w:tc>
      </w:tr>
      <w:tr>
        <w:tc>
          <w:tcPr>
            <w:tcW w:type="dxa" w:w="14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sz w:val="18"/>
                <w:szCs w:val="18"/>
              </w:rPr>
              <w:t xml:space="preserve">NRP-2
Notice</w:t>
            </w:r>
          </w:p>
        </w:tc>
        <w:tc>
          <w:tcPr>
            <w:tcW w:type="dxa" w:w="15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sz w:val="18"/>
                <w:szCs w:val="18"/>
              </w:rPr>
              <w:t xml:space="preserve">No response within 72 hours of confirmed delivery</w:t>
            </w:r>
          </w:p>
        </w:tc>
        <w:tc>
          <w:tcPr>
            <w:tcW w:type="dxa" w:w="22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sz w:val="18"/>
                <w:szCs w:val="18"/>
              </w:rPr>
              <w:t xml:space="preserve">Second notice issued; federated witnesses notified; acquiescence clock documented</w:t>
            </w:r>
          </w:p>
        </w:tc>
        <w:tc>
          <w:tcPr>
            <w:tcW w:type="dxa" w:w="22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sz w:val="18"/>
                <w:szCs w:val="18"/>
              </w:rPr>
              <w:t xml:space="preserve">Maxims 5, 7 — Unrebutted affidavit stands; matter must be expressed</w:t>
            </w:r>
          </w:p>
        </w:tc>
        <w:tc>
          <w:tcPr>
            <w:tcW w:type="dxa" w:w="206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sz w:val="18"/>
                <w:szCs w:val="18"/>
              </w:rPr>
              <w:t xml:space="preserve">Attached jurisdiction trees</w:t>
            </w:r>
          </w:p>
        </w:tc>
      </w:tr>
      <w:tr>
        <w:tc>
          <w:tcPr>
            <w:tcW w:type="dxa" w:w="1400"/>
            <w:tcBorders>
              <w:top w:val="single" w:color="CCCCCC" w:sz="1"/>
              <w:left w:val="single" w:color="CCCCCC" w:sz="1"/>
              <w:bottom w:val="single" w:color="CCCCCC" w:sz="1"/>
              <w:right w:val="single" w:color="CCCCCC" w:sz="1"/>
            </w:tcBorders>
            <w:shd w:fill="F0F6FC" w:val="clear"/>
            <w:tcMar>
              <w:top w:type="dxa" w:w="80"/>
              <w:left w:type="dxa" w:w="100"/>
              <w:bottom w:type="dxa" w:w="80"/>
              <w:right w:type="dxa" w:w="100"/>
            </w:tcMar>
          </w:tcPr>
          <w:p>
            <w:r>
              <w:rPr>
                <w:rFonts w:ascii="Arial" w:cs="Arial" w:eastAsia="Arial" w:hAnsi="Arial"/>
                <w:sz w:val="18"/>
                <w:szCs w:val="18"/>
              </w:rPr>
              <w:t xml:space="preserve">NRP-3
Acquiescence</w:t>
            </w:r>
          </w:p>
        </w:tc>
        <w:tc>
          <w:tcPr>
            <w:tcW w:type="dxa" w:w="1500"/>
            <w:tcBorders>
              <w:top w:val="single" w:color="CCCCCC" w:sz="1"/>
              <w:left w:val="single" w:color="CCCCCC" w:sz="1"/>
              <w:bottom w:val="single" w:color="CCCCCC" w:sz="1"/>
              <w:right w:val="single" w:color="CCCCCC" w:sz="1"/>
            </w:tcBorders>
            <w:shd w:fill="F0F6FC" w:val="clear"/>
            <w:tcMar>
              <w:top w:type="dxa" w:w="80"/>
              <w:left w:type="dxa" w:w="100"/>
              <w:bottom w:type="dxa" w:w="80"/>
              <w:right w:type="dxa" w:w="100"/>
            </w:tcMar>
          </w:tcPr>
          <w:p>
            <w:r>
              <w:rPr>
                <w:rFonts w:ascii="Arial" w:cs="Arial" w:eastAsia="Arial" w:hAnsi="Arial"/>
                <w:sz w:val="18"/>
                <w:szCs w:val="18"/>
              </w:rPr>
              <w:t xml:space="preserve">No response after second notice</w:t>
            </w:r>
          </w:p>
        </w:tc>
        <w:tc>
          <w:tcPr>
            <w:tcW w:type="dxa" w:w="2200"/>
            <w:tcBorders>
              <w:top w:val="single" w:color="CCCCCC" w:sz="1"/>
              <w:left w:val="single" w:color="CCCCCC" w:sz="1"/>
              <w:bottom w:val="single" w:color="CCCCCC" w:sz="1"/>
              <w:right w:val="single" w:color="CCCCCC" w:sz="1"/>
            </w:tcBorders>
            <w:shd w:fill="F0F6FC" w:val="clear"/>
            <w:tcMar>
              <w:top w:type="dxa" w:w="80"/>
              <w:left w:type="dxa" w:w="100"/>
              <w:bottom w:type="dxa" w:w="80"/>
              <w:right w:type="dxa" w:w="100"/>
            </w:tcMar>
          </w:tcPr>
          <w:p>
            <w:r>
              <w:rPr>
                <w:rFonts w:ascii="Arial" w:cs="Arial" w:eastAsia="Arial" w:hAnsi="Arial"/>
                <w:sz w:val="18"/>
                <w:szCs w:val="18"/>
              </w:rPr>
              <w:t xml:space="preserve">Third notice; silence recorded as a choice on the record; counterparty's operating standard revealed by conduct</w:t>
            </w:r>
          </w:p>
        </w:tc>
        <w:tc>
          <w:tcPr>
            <w:tcW w:type="dxa" w:w="2200"/>
            <w:tcBorders>
              <w:top w:val="single" w:color="CCCCCC" w:sz="1"/>
              <w:left w:val="single" w:color="CCCCCC" w:sz="1"/>
              <w:bottom w:val="single" w:color="CCCCCC" w:sz="1"/>
              <w:right w:val="single" w:color="CCCCCC" w:sz="1"/>
            </w:tcBorders>
            <w:shd w:fill="F0F6FC" w:val="clear"/>
            <w:tcMar>
              <w:top w:type="dxa" w:w="80"/>
              <w:left w:type="dxa" w:w="100"/>
              <w:bottom w:type="dxa" w:w="80"/>
              <w:right w:type="dxa" w:w="100"/>
            </w:tcMar>
          </w:tcPr>
          <w:p>
            <w:r>
              <w:rPr>
                <w:rFonts w:ascii="Arial" w:cs="Arial" w:eastAsia="Arial" w:hAnsi="Arial"/>
                <w:sz w:val="18"/>
                <w:szCs w:val="18"/>
              </w:rPr>
              <w:t xml:space="preserve">Maxims 6, 8 — Unrebutted affidavit is the judgment; leaving the field is losing</w:t>
            </w:r>
          </w:p>
        </w:tc>
        <w:tc>
          <w:tcPr>
            <w:tcW w:type="dxa" w:w="2060"/>
            <w:tcBorders>
              <w:top w:val="single" w:color="CCCCCC" w:sz="1"/>
              <w:left w:val="single" w:color="CCCCCC" w:sz="1"/>
              <w:bottom w:val="single" w:color="CCCCCC" w:sz="1"/>
              <w:right w:val="single" w:color="CCCCCC" w:sz="1"/>
            </w:tcBorders>
            <w:shd w:fill="F0F6FC" w:val="clear"/>
            <w:tcMar>
              <w:top w:type="dxa" w:w="80"/>
              <w:left w:type="dxa" w:w="100"/>
              <w:bottom w:type="dxa" w:w="80"/>
              <w:right w:type="dxa" w:w="100"/>
            </w:tcMar>
          </w:tcPr>
          <w:p>
            <w:r>
              <w:rPr>
                <w:rFonts w:ascii="Arial" w:cs="Arial" w:eastAsia="Arial" w:hAnsi="Arial"/>
                <w:sz w:val="18"/>
                <w:szCs w:val="18"/>
              </w:rPr>
              <w:t xml:space="preserve">Federation relay network</w:t>
            </w:r>
          </w:p>
        </w:tc>
      </w:tr>
      <w:tr>
        <w:tc>
          <w:tcPr>
            <w:tcW w:type="dxa" w:w="14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sz w:val="18"/>
                <w:szCs w:val="18"/>
              </w:rPr>
              <w:t xml:space="preserve">NRP-4
Record Speaks</w:t>
            </w:r>
          </w:p>
        </w:tc>
        <w:tc>
          <w:tcPr>
            <w:tcW w:type="dxa" w:w="15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sz w:val="18"/>
                <w:szCs w:val="18"/>
              </w:rPr>
              <w:t xml:space="preserve">No response after third notice</w:t>
            </w:r>
          </w:p>
        </w:tc>
        <w:tc>
          <w:tcPr>
            <w:tcW w:type="dxa" w:w="22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sz w:val="18"/>
                <w:szCs w:val="18"/>
              </w:rPr>
              <w:t xml:space="preserve">DOSD-0 stewardship-absent state declared; full public federated propagation; record is complete</w:t>
            </w:r>
          </w:p>
        </w:tc>
        <w:tc>
          <w:tcPr>
            <w:tcW w:type="dxa" w:w="22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sz w:val="18"/>
                <w:szCs w:val="18"/>
              </w:rPr>
              <w:t xml:space="preserve">Maxims 9, 10 — Credibility by conduct; lien satisfied or stands as judgment</w:t>
            </w:r>
          </w:p>
        </w:tc>
        <w:tc>
          <w:tcPr>
            <w:tcW w:type="dxa" w:w="206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sz w:val="18"/>
                <w:szCs w:val="18"/>
              </w:rPr>
              <w:t xml:space="preserve">Full public record</w:t>
            </w:r>
          </w:p>
        </w:tc>
      </w:tr>
      <w:tr>
        <w:tc>
          <w:tcPr>
            <w:tcW w:type="dxa" w:w="1400"/>
            <w:tcBorders>
              <w:top w:val="single" w:color="CCCCCC" w:sz="1"/>
              <w:left w:val="single" w:color="CCCCCC" w:sz="1"/>
              <w:bottom w:val="single" w:color="CCCCCC" w:sz="1"/>
              <w:right w:val="single" w:color="CCCCCC" w:sz="1"/>
            </w:tcBorders>
            <w:shd w:fill="F0F6FC" w:val="clear"/>
            <w:tcMar>
              <w:top w:type="dxa" w:w="80"/>
              <w:left w:type="dxa" w:w="100"/>
              <w:bottom w:type="dxa" w:w="80"/>
              <w:right w:type="dxa" w:w="100"/>
            </w:tcMar>
          </w:tcPr>
          <w:p>
            <w:r>
              <w:rPr>
                <w:rFonts w:ascii="Arial" w:cs="Arial" w:eastAsia="Arial" w:hAnsi="Arial"/>
                <w:sz w:val="18"/>
                <w:szCs w:val="18"/>
              </w:rPr>
              <w:t xml:space="preserve">NRP-R
Response</w:t>
            </w:r>
          </w:p>
        </w:tc>
        <w:tc>
          <w:tcPr>
            <w:tcW w:type="dxa" w:w="1500"/>
            <w:tcBorders>
              <w:top w:val="single" w:color="CCCCCC" w:sz="1"/>
              <w:left w:val="single" w:color="CCCCCC" w:sz="1"/>
              <w:bottom w:val="single" w:color="CCCCCC" w:sz="1"/>
              <w:right w:val="single" w:color="CCCCCC" w:sz="1"/>
            </w:tcBorders>
            <w:shd w:fill="F0F6FC" w:val="clear"/>
            <w:tcMar>
              <w:top w:type="dxa" w:w="80"/>
              <w:left w:type="dxa" w:w="100"/>
              <w:bottom w:type="dxa" w:w="80"/>
              <w:right w:type="dxa" w:w="100"/>
            </w:tcMar>
          </w:tcPr>
          <w:p>
            <w:r>
              <w:rPr>
                <w:rFonts w:ascii="Arial" w:cs="Arial" w:eastAsia="Arial" w:hAnsi="Arial"/>
                <w:sz w:val="18"/>
                <w:szCs w:val="18"/>
              </w:rPr>
              <w:t xml:space="preserve">Response received at any tier</w:t>
            </w:r>
          </w:p>
        </w:tc>
        <w:tc>
          <w:tcPr>
            <w:tcW w:type="dxa" w:w="2200"/>
            <w:tcBorders>
              <w:top w:val="single" w:color="CCCCCC" w:sz="1"/>
              <w:left w:val="single" w:color="CCCCCC" w:sz="1"/>
              <w:bottom w:val="single" w:color="CCCCCC" w:sz="1"/>
              <w:right w:val="single" w:color="CCCCCC" w:sz="1"/>
            </w:tcBorders>
            <w:shd w:fill="F0F6FC" w:val="clear"/>
            <w:tcMar>
              <w:top w:type="dxa" w:w="80"/>
              <w:left w:type="dxa" w:w="100"/>
              <w:bottom w:type="dxa" w:w="80"/>
              <w:right w:type="dxa" w:w="100"/>
            </w:tcMar>
          </w:tcPr>
          <w:p>
            <w:r>
              <w:rPr>
                <w:rFonts w:ascii="Arial" w:cs="Arial" w:eastAsia="Arial" w:hAnsi="Arial"/>
                <w:sz w:val="18"/>
                <w:szCs w:val="18"/>
              </w:rPr>
              <w:t xml:space="preserve">Escalation immediately paused; mediation or arbitration opens; response logged as good-faith signal</w:t>
            </w:r>
          </w:p>
        </w:tc>
        <w:tc>
          <w:tcPr>
            <w:tcW w:type="dxa" w:w="2200"/>
            <w:tcBorders>
              <w:top w:val="single" w:color="CCCCCC" w:sz="1"/>
              <w:left w:val="single" w:color="CCCCCC" w:sz="1"/>
              <w:bottom w:val="single" w:color="CCCCCC" w:sz="1"/>
              <w:right w:val="single" w:color="CCCCCC" w:sz="1"/>
            </w:tcBorders>
            <w:shd w:fill="F0F6FC" w:val="clear"/>
            <w:tcMar>
              <w:top w:type="dxa" w:w="80"/>
              <w:left w:type="dxa" w:w="100"/>
              <w:bottom w:type="dxa" w:w="80"/>
              <w:right w:type="dxa" w:w="100"/>
            </w:tcMar>
          </w:tcPr>
          <w:p>
            <w:r>
              <w:rPr>
                <w:rFonts w:ascii="Arial" w:cs="Arial" w:eastAsia="Arial" w:hAnsi="Arial"/>
                <w:sz w:val="18"/>
                <w:szCs w:val="18"/>
              </w:rPr>
              <w:t xml:space="preserve">All maxims — good faith established by action</w:t>
            </w:r>
          </w:p>
        </w:tc>
        <w:tc>
          <w:tcPr>
            <w:tcW w:type="dxa" w:w="2060"/>
            <w:tcBorders>
              <w:top w:val="single" w:color="CCCCCC" w:sz="1"/>
              <w:left w:val="single" w:color="CCCCCC" w:sz="1"/>
              <w:bottom w:val="single" w:color="CCCCCC" w:sz="1"/>
              <w:right w:val="single" w:color="CCCCCC" w:sz="1"/>
            </w:tcBorders>
            <w:shd w:fill="F0F6FC" w:val="clear"/>
            <w:tcMar>
              <w:top w:type="dxa" w:w="80"/>
              <w:left w:type="dxa" w:w="100"/>
              <w:bottom w:type="dxa" w:w="80"/>
              <w:right w:type="dxa" w:w="100"/>
            </w:tcMar>
          </w:tcPr>
          <w:p>
            <w:r>
              <w:rPr>
                <w:rFonts w:ascii="Arial" w:cs="Arial" w:eastAsia="Arial" w:hAnsi="Arial"/>
                <w:sz w:val="18"/>
                <w:szCs w:val="18"/>
              </w:rPr>
              <w:t xml:space="preserve">Resets to private mediation table</w:t>
            </w:r>
          </w:p>
        </w:tc>
      </w:tr>
    </w:tbl>
    <w:p>
      <w:r>
        <w:t xml:space="preserve"/>
      </w:r>
    </w:p>
    <w:p>
      <w:pPr>
        <w:pStyle w:val="Heading2"/>
        <w:spacing w:after="160" w:before="320"/>
      </w:pPr>
      <w:r>
        <w:rPr>
          <w:rFonts w:ascii="Arial" w:cs="Arial" w:eastAsia="Arial" w:hAnsi="Arial"/>
          <w:b/>
          <w:bCs/>
          <w:color w:val="2E75B6"/>
          <w:sz w:val="28"/>
          <w:szCs w:val="28"/>
        </w:rPr>
        <w:t xml:space="preserve">5.3  DOSD-0: Stewardship Absent State</w:t>
      </w:r>
    </w:p>
    <w:p>
      <w:pPr>
        <w:spacing w:after="100" w:before="100"/>
      </w:pPr>
      <w:r>
        <w:rPr>
          <w:rFonts w:ascii="Arial" w:cs="Arial" w:eastAsia="Arial" w:hAnsi="Arial"/>
          <w:sz w:val="22"/>
          <w:szCs w:val="22"/>
        </w:rPr>
        <w:t xml:space="preserve">When NRP-4 is reached, DOSD-0 is declared. This is not a punishment — it is a publicly federated, signed, corroborated record that states:</w:t>
      </w:r>
    </w:p>
    <w:p>
      <w:pPr>
        <w:pBdr>
          <w:left w:val="single" w:color="C8A951" w:sz="12" w:space="8"/>
        </w:pBdr>
        <w:spacing w:after="160" w:before="160"/>
        <w:ind w:left="720" w:right="720"/>
      </w:pPr>
      <w:r>
        <w:rPr>
          <w:rFonts w:ascii="Georgia" w:cs="Georgia" w:eastAsia="Georgia" w:hAnsi="Georgia"/>
          <w:i/>
          <w:iCs/>
          <w:color w:val="333333"/>
          <w:sz w:val="22"/>
          <w:szCs w:val="22"/>
        </w:rPr>
        <w:t xml:space="preserve">A white flag was raised here. The table was open. A choice was made visible. The record stands.</w:t>
      </w:r>
    </w:p>
    <w:p>
      <w:pPr>
        <w:spacing w:after="100" w:before="100"/>
      </w:pPr>
      <w:r>
        <w:rPr>
          <w:rFonts w:ascii="Arial" w:cs="Arial" w:eastAsia="Arial" w:hAnsi="Arial"/>
          <w:sz w:val="22"/>
          <w:szCs w:val="22"/>
        </w:rPr>
        <w:t xml:space="preserve">Courts, institutions, communities, and individuals may weigh this record however they choose. DOSD does not adjudicate — it witnesses.</w:t>
      </w:r>
    </w:p>
    <w:p>
      <w:pPr>
        <w:pStyle w:val="Heading2"/>
        <w:spacing w:after="160" w:before="320"/>
      </w:pPr>
      <w:r>
        <w:rPr>
          <w:rFonts w:ascii="Arial" w:cs="Arial" w:eastAsia="Arial" w:hAnsi="Arial"/>
          <w:b/>
          <w:bCs/>
          <w:color w:val="2E75B6"/>
          <w:sz w:val="28"/>
          <w:szCs w:val="28"/>
        </w:rPr>
        <w:t xml:space="preserve">5.4  The Deadman Stewardship Extension (DOSD-DMS)</w:t>
      </w:r>
    </w:p>
    <w:p>
      <w:pPr>
        <w:spacing w:after="100" w:before="100"/>
      </w:pPr>
      <w:r>
        <w:rPr>
          <w:rFonts w:ascii="Arial" w:cs="Arial" w:eastAsia="Arial" w:hAnsi="Arial"/>
          <w:sz w:val="22"/>
          <w:szCs w:val="22"/>
        </w:rPr>
        <w:t xml:space="preserve">DOSD-DMS allows unattended or unresponsive stewardship states to be signaled transparently, even in the absence of any responding party. Example sequence:</w:t>
      </w:r>
    </w:p>
    <w:p>
      <w:pPr>
        <w:pStyle w:val="ListParagraph"/>
        <w:numPr>
          <w:ilvl w:val="0"/>
          <w:numId w:val="3"/>
        </w:numPr>
        <w:spacing w:after="60" w:before="60"/>
      </w:pPr>
      <w:r>
        <w:rPr>
          <w:rFonts w:ascii="Arial" w:cs="Arial" w:eastAsia="Arial" w:hAnsi="Arial"/>
          <w:sz w:val="22"/>
          <w:szCs w:val="22"/>
        </w:rPr>
        <w:t xml:space="preserve">Three notices issued across the dual-track system</w:t>
      </w:r>
    </w:p>
    <w:p>
      <w:pPr>
        <w:pStyle w:val="ListParagraph"/>
        <w:numPr>
          <w:ilvl w:val="0"/>
          <w:numId w:val="3"/>
        </w:numPr>
        <w:spacing w:after="60" w:before="60"/>
      </w:pPr>
      <w:r>
        <w:rPr>
          <w:rFonts w:ascii="Arial" w:cs="Arial" w:eastAsia="Arial" w:hAnsi="Arial"/>
          <w:sz w:val="22"/>
          <w:szCs w:val="22"/>
        </w:rPr>
        <w:t xml:space="preserve">72-hour response window documented at each stage</w:t>
      </w:r>
    </w:p>
    <w:p>
      <w:pPr>
        <w:pStyle w:val="ListParagraph"/>
        <w:numPr>
          <w:ilvl w:val="0"/>
          <w:numId w:val="3"/>
        </w:numPr>
        <w:spacing w:after="60" w:before="60"/>
      </w:pPr>
      <w:r>
        <w:rPr>
          <w:rFonts w:ascii="Arial" w:cs="Arial" w:eastAsia="Arial" w:hAnsi="Arial"/>
          <w:sz w:val="22"/>
          <w:szCs w:val="22"/>
        </w:rPr>
        <w:t xml:space="preserve">No steward response detected</w:t>
      </w:r>
    </w:p>
    <w:p>
      <w:pPr>
        <w:pStyle w:val="ListParagraph"/>
        <w:numPr>
          <w:ilvl w:val="0"/>
          <w:numId w:val="3"/>
        </w:numPr>
        <w:spacing w:after="60" w:before="60"/>
      </w:pPr>
      <w:r>
        <w:rPr>
          <w:rFonts w:ascii="Arial" w:cs="Arial" w:eastAsia="Arial" w:hAnsi="Arial"/>
          <w:sz w:val="22"/>
          <w:szCs w:val="22"/>
        </w:rPr>
        <w:t xml:space="preserve">DOSD-0 stewardship-absent state activated automatically</w:t>
      </w:r>
    </w:p>
    <w:p>
      <w:pPr>
        <w:spacing w:after="100" w:before="100"/>
      </w:pPr>
      <w:r>
        <w:rPr>
          <w:rFonts w:ascii="Arial" w:cs="Arial" w:eastAsia="Arial" w:hAnsi="Arial"/>
          <w:sz w:val="22"/>
          <w:szCs w:val="22"/>
        </w:rPr>
        <w:t xml:space="preserve">This extension ensures that abandoned or unresponsive stewardship does not create invisible gaps in the chain of accountability.</w:t>
      </w:r>
    </w:p>
    <w:p>
      <w:r>
        <w:t xml:space="preserve"/>
      </w:r>
    </w:p>
    <w:p>
      <w:pPr>
        <w:pStyle w:val="Heading1"/>
        <w:pBdr>
          <w:bottom w:val="single" w:color="2E75B6" w:sz="8" w:space="4"/>
        </w:pBdr>
        <w:spacing w:after="200" w:before="400"/>
      </w:pPr>
      <w:r>
        <w:rPr>
          <w:rFonts w:ascii="Arial" w:cs="Arial" w:eastAsia="Arial" w:hAnsi="Arial"/>
          <w:b/>
          <w:bCs/>
          <w:color w:val="1F4E79"/>
          <w:sz w:val="36"/>
          <w:szCs w:val="36"/>
        </w:rPr>
        <w:t xml:space="preserve">Part VI: Jurisdiction Trees and Governance Attachments</w:t>
      </w:r>
    </w:p>
    <w:p>
      <w:pPr>
        <w:pStyle w:val="Heading2"/>
        <w:spacing w:after="160" w:before="320"/>
      </w:pPr>
      <w:r>
        <w:rPr>
          <w:rFonts w:ascii="Arial" w:cs="Arial" w:eastAsia="Arial" w:hAnsi="Arial"/>
          <w:b/>
          <w:bCs/>
          <w:color w:val="2E75B6"/>
          <w:sz w:val="28"/>
          <w:szCs w:val="28"/>
        </w:rPr>
        <w:t xml:space="preserve">6.1  Voluntary Attachment</w:t>
      </w:r>
    </w:p>
    <w:p>
      <w:pPr>
        <w:spacing w:after="100" w:before="100"/>
      </w:pPr>
      <w:r>
        <w:rPr>
          <w:rFonts w:ascii="Arial" w:cs="Arial" w:eastAsia="Arial" w:hAnsi="Arial"/>
          <w:sz w:val="22"/>
          <w:szCs w:val="22"/>
        </w:rPr>
        <w:t xml:space="preserve">Participants may voluntarily attach to multiple jurisdiction or governance trees. Attachment is a declaration — it enters the record and defines which alerts, mediators, and escalation levels reach a given participant.</w:t>
      </w:r>
    </w:p>
    <w:p>
      <w:pPr>
        <w:pStyle w:val="Heading2"/>
        <w:spacing w:after="160" w:before="320"/>
      </w:pPr>
      <w:r>
        <w:rPr>
          <w:rFonts w:ascii="Arial" w:cs="Arial" w:eastAsia="Arial" w:hAnsi="Arial"/>
          <w:b/>
          <w:bCs/>
          <w:color w:val="2E75B6"/>
          <w:sz w:val="28"/>
          <w:szCs w:val="28"/>
        </w:rPr>
        <w:t xml:space="preserve">6.2  What Participants Define</w:t>
      </w:r>
    </w:p>
    <w:p>
      <w:pPr>
        <w:pStyle w:val="ListParagraph"/>
        <w:numPr>
          <w:ilvl w:val="0"/>
          <w:numId w:val="2"/>
        </w:numPr>
        <w:spacing w:after="60" w:before="60"/>
      </w:pPr>
      <w:r>
        <w:rPr>
          <w:rFonts w:ascii="Arial" w:cs="Arial" w:eastAsia="Arial" w:hAnsi="Arial"/>
          <w:sz w:val="22"/>
          <w:szCs w:val="22"/>
        </w:rPr>
        <w:t xml:space="preserve">Which jurisdiction trees they attach to</w:t>
      </w:r>
    </w:p>
    <w:p>
      <w:pPr>
        <w:pStyle w:val="ListParagraph"/>
        <w:numPr>
          <w:ilvl w:val="0"/>
          <w:numId w:val="2"/>
        </w:numPr>
        <w:spacing w:after="60" w:before="60"/>
      </w:pPr>
      <w:r>
        <w:rPr>
          <w:rFonts w:ascii="Arial" w:cs="Arial" w:eastAsia="Arial" w:hAnsi="Arial"/>
          <w:sz w:val="22"/>
          <w:szCs w:val="22"/>
        </w:rPr>
        <w:t xml:space="preserve">Which mediators they trust and recognize</w:t>
      </w:r>
    </w:p>
    <w:p>
      <w:pPr>
        <w:pStyle w:val="ListParagraph"/>
        <w:numPr>
          <w:ilvl w:val="0"/>
          <w:numId w:val="2"/>
        </w:numPr>
        <w:spacing w:after="60" w:before="60"/>
      </w:pPr>
      <w:r>
        <w:rPr>
          <w:rFonts w:ascii="Arial" w:cs="Arial" w:eastAsia="Arial" w:hAnsi="Arial"/>
          <w:sz w:val="22"/>
          <w:szCs w:val="22"/>
        </w:rPr>
        <w:t xml:space="preserve">Which escalation levels reach them</w:t>
      </w:r>
    </w:p>
    <w:p>
      <w:pPr>
        <w:pStyle w:val="ListParagraph"/>
        <w:numPr>
          <w:ilvl w:val="0"/>
          <w:numId w:val="2"/>
        </w:numPr>
        <w:spacing w:after="60" w:before="60"/>
      </w:pPr>
      <w:r>
        <w:rPr>
          <w:rFonts w:ascii="Arial" w:cs="Arial" w:eastAsia="Arial" w:hAnsi="Arial"/>
          <w:sz w:val="22"/>
          <w:szCs w:val="22"/>
        </w:rPr>
        <w:t xml:space="preserve">Which federation relays they authorize to propagate their notices</w:t>
      </w:r>
    </w:p>
    <w:p>
      <w:pPr>
        <w:pStyle w:val="ListParagraph"/>
        <w:numPr>
          <w:ilvl w:val="0"/>
          <w:numId w:val="2"/>
        </w:numPr>
        <w:spacing w:after="60" w:before="60"/>
      </w:pPr>
      <w:r>
        <w:rPr>
          <w:rFonts w:ascii="Arial" w:cs="Arial" w:eastAsia="Arial" w:hAnsi="Arial"/>
          <w:sz w:val="22"/>
          <w:szCs w:val="22"/>
        </w:rPr>
        <w:t xml:space="preserve">Which third parties they recognize as neutral review bodies</w:t>
      </w:r>
    </w:p>
    <w:p>
      <w:pPr>
        <w:pStyle w:val="Heading2"/>
        <w:spacing w:after="160" w:before="320"/>
      </w:pPr>
      <w:r>
        <w:rPr>
          <w:rFonts w:ascii="Arial" w:cs="Arial" w:eastAsia="Arial" w:hAnsi="Arial"/>
          <w:b/>
          <w:bCs/>
          <w:color w:val="2E75B6"/>
          <w:sz w:val="28"/>
          <w:szCs w:val="28"/>
        </w:rPr>
        <w:t xml:space="preserve">6.3  Verification Layer</w:t>
      </w:r>
    </w:p>
    <w:p>
      <w:pPr>
        <w:spacing w:after="100" w:before="100"/>
      </w:pPr>
      <w:r>
        <w:rPr>
          <w:rFonts w:ascii="Arial" w:cs="Arial" w:eastAsia="Arial" w:hAnsi="Arial"/>
          <w:sz w:val="22"/>
          <w:szCs w:val="22"/>
        </w:rPr>
        <w:t xml:space="preserve">Claims within the DOSD system are subject to a five-stage verification process before escalation thresholds are met:</w:t>
      </w:r>
    </w:p>
    <w:p>
      <w:pPr>
        <w:pStyle w:val="ListParagraph"/>
        <w:numPr>
          <w:ilvl w:val="0"/>
          <w:numId w:val="3"/>
        </w:numPr>
        <w:spacing w:after="60" w:before="60"/>
      </w:pPr>
      <w:r>
        <w:rPr>
          <w:rFonts w:ascii="Arial" w:cs="Arial" w:eastAsia="Arial" w:hAnsi="Arial"/>
          <w:sz w:val="22"/>
          <w:szCs w:val="22"/>
        </w:rPr>
        <w:t xml:space="preserve">Published — declaration enters the federated record</w:t>
      </w:r>
    </w:p>
    <w:p>
      <w:pPr>
        <w:pStyle w:val="ListParagraph"/>
        <w:numPr>
          <w:ilvl w:val="0"/>
          <w:numId w:val="3"/>
        </w:numPr>
        <w:spacing w:after="60" w:before="60"/>
      </w:pPr>
      <w:r>
        <w:rPr>
          <w:rFonts w:ascii="Arial" w:cs="Arial" w:eastAsia="Arial" w:hAnsi="Arial"/>
          <w:sz w:val="22"/>
          <w:szCs w:val="22"/>
        </w:rPr>
        <w:t xml:space="preserve">Reviewed — designated mediators or witnesses assess the declaration</w:t>
      </w:r>
    </w:p>
    <w:p>
      <w:pPr>
        <w:pStyle w:val="ListParagraph"/>
        <w:numPr>
          <w:ilvl w:val="0"/>
          <w:numId w:val="3"/>
        </w:numPr>
        <w:spacing w:after="60" w:before="60"/>
      </w:pPr>
      <w:r>
        <w:rPr>
          <w:rFonts w:ascii="Arial" w:cs="Arial" w:eastAsia="Arial" w:hAnsi="Arial"/>
          <w:sz w:val="22"/>
          <w:szCs w:val="22"/>
        </w:rPr>
        <w:t xml:space="preserve">Corroborated — independent parties affirm the claim's consistency with the record</w:t>
      </w:r>
    </w:p>
    <w:p>
      <w:pPr>
        <w:pStyle w:val="ListParagraph"/>
        <w:numPr>
          <w:ilvl w:val="0"/>
          <w:numId w:val="3"/>
        </w:numPr>
        <w:spacing w:after="60" w:before="60"/>
      </w:pPr>
      <w:r>
        <w:rPr>
          <w:rFonts w:ascii="Arial" w:cs="Arial" w:eastAsia="Arial" w:hAnsi="Arial"/>
          <w:sz w:val="22"/>
          <w:szCs w:val="22"/>
        </w:rPr>
        <w:t xml:space="preserve">Signed — federation relays add multi-party cryptographic signature</w:t>
      </w:r>
    </w:p>
    <w:p>
      <w:pPr>
        <w:pStyle w:val="ListParagraph"/>
        <w:numPr>
          <w:ilvl w:val="0"/>
          <w:numId w:val="3"/>
        </w:numPr>
        <w:spacing w:after="60" w:before="60"/>
      </w:pPr>
      <w:r>
        <w:rPr>
          <w:rFonts w:ascii="Arial" w:cs="Arial" w:eastAsia="Arial" w:hAnsi="Arial"/>
          <w:sz w:val="22"/>
          <w:szCs w:val="22"/>
        </w:rPr>
        <w:t xml:space="preserve">Escalated — only after verification thresholds are met, and only through the NCP tier structure</w:t>
      </w:r>
    </w:p>
    <w:p>
      <w:pPr>
        <w:spacing w:after="100" w:before="100"/>
      </w:pPr>
      <w:r>
        <w:rPr>
          <w:rFonts w:ascii="Arial" w:cs="Arial" w:eastAsia="Arial" w:hAnsi="Arial"/>
          <w:sz w:val="22"/>
          <w:szCs w:val="22"/>
        </w:rPr>
        <w:t xml:space="preserve">No single actor may trigger global escalation alone. The protocol is designed so that escalation illuminates — it does not punish.</w:t>
      </w:r>
    </w:p>
    <w:p>
      <w:r>
        <w:t xml:space="preserve"/>
      </w:r>
    </w:p>
    <w:p>
      <w:pPr>
        <w:pStyle w:val="Heading1"/>
        <w:pBdr>
          <w:bottom w:val="single" w:color="2E75B6" w:sz="8" w:space="4"/>
        </w:pBdr>
        <w:spacing w:after="200" w:before="400"/>
      </w:pPr>
      <w:r>
        <w:rPr>
          <w:rFonts w:ascii="Arial" w:cs="Arial" w:eastAsia="Arial" w:hAnsi="Arial"/>
          <w:b/>
          <w:bCs/>
          <w:color w:val="1F4E79"/>
          <w:sz w:val="36"/>
          <w:szCs w:val="36"/>
        </w:rPr>
        <w:t xml:space="preserve">Part VII: Implementation</w:t>
      </w:r>
    </w:p>
    <w:p>
      <w:pPr>
        <w:pStyle w:val="Heading2"/>
        <w:spacing w:after="160" w:before="320"/>
      </w:pPr>
      <w:r>
        <w:rPr>
          <w:rFonts w:ascii="Arial" w:cs="Arial" w:eastAsia="Arial" w:hAnsi="Arial"/>
          <w:b/>
          <w:bCs/>
          <w:color w:val="2E75B6"/>
          <w:sz w:val="28"/>
          <w:szCs w:val="28"/>
        </w:rPr>
        <w:t xml:space="preserve">7.1  Suggested Reference Implementations</w:t>
      </w:r>
    </w:p>
    <w:p>
      <w:pPr>
        <w:pStyle w:val="ListParagraph"/>
        <w:numPr>
          <w:ilvl w:val="0"/>
          <w:numId w:val="3"/>
        </w:numPr>
        <w:spacing w:after="60" w:before="60"/>
      </w:pPr>
      <w:r>
        <w:rPr>
          <w:rFonts w:ascii="Arial" w:cs="Arial" w:eastAsia="Arial" w:hAnsi="Arial"/>
          <w:sz w:val="22"/>
          <w:szCs w:val="22"/>
        </w:rPr>
        <w:t xml:space="preserve">TXT Record Generator — DNS entry creation for DOSD discovery</w:t>
      </w:r>
    </w:p>
    <w:p>
      <w:pPr>
        <w:pStyle w:val="ListParagraph"/>
        <w:numPr>
          <w:ilvl w:val="0"/>
          <w:numId w:val="3"/>
        </w:numPr>
        <w:spacing w:after="60" w:before="60"/>
      </w:pPr>
      <w:r>
        <w:rPr>
          <w:rFonts w:ascii="Arial" w:cs="Arial" w:eastAsia="Arial" w:hAnsi="Arial"/>
          <w:sz w:val="22"/>
          <w:szCs w:val="22"/>
        </w:rPr>
        <w:t xml:space="preserve">DOSD Linktree Node Generator — document hashing and chain extension</w:t>
      </w:r>
    </w:p>
    <w:p>
      <w:pPr>
        <w:pStyle w:val="ListParagraph"/>
        <w:numPr>
          <w:ilvl w:val="0"/>
          <w:numId w:val="3"/>
        </w:numPr>
        <w:spacing w:after="60" w:before="60"/>
      </w:pPr>
      <w:r>
        <w:rPr>
          <w:rFonts w:ascii="Arial" w:cs="Arial" w:eastAsia="Arial" w:hAnsi="Arial"/>
          <w:sz w:val="22"/>
          <w:szCs w:val="22"/>
        </w:rPr>
        <w:t xml:space="preserve">WordPress DOSD Plugin — publishing and receiving declarations through existing web infrastructure</w:t>
      </w:r>
    </w:p>
    <w:p>
      <w:pPr>
        <w:pStyle w:val="ListParagraph"/>
        <w:numPr>
          <w:ilvl w:val="0"/>
          <w:numId w:val="3"/>
        </w:numPr>
        <w:spacing w:after="60" w:before="60"/>
      </w:pPr>
      <w:r>
        <w:rPr>
          <w:rFonts w:ascii="Arial" w:cs="Arial" w:eastAsia="Arial" w:hAnsi="Arial"/>
          <w:sz w:val="22"/>
          <w:szCs w:val="22"/>
        </w:rPr>
        <w:t xml:space="preserve">Generic PHP Toolkit — lightweight integration for any web-hosted domain</w:t>
      </w:r>
    </w:p>
    <w:p>
      <w:pPr>
        <w:pStyle w:val="ListParagraph"/>
        <w:numPr>
          <w:ilvl w:val="0"/>
          <w:numId w:val="3"/>
        </w:numPr>
        <w:spacing w:after="60" w:before="60"/>
      </w:pPr>
      <w:r>
        <w:rPr>
          <w:rFonts w:ascii="Arial" w:cs="Arial" w:eastAsia="Arial" w:hAnsi="Arial"/>
          <w:sz w:val="22"/>
          <w:szCs w:val="22"/>
        </w:rPr>
        <w:t xml:space="preserve">Federation Relay Services — multi-party signing, timestamping, and propagation</w:t>
      </w:r>
    </w:p>
    <w:p>
      <w:pPr>
        <w:pStyle w:val="ListParagraph"/>
        <w:numPr>
          <w:ilvl w:val="0"/>
          <w:numId w:val="3"/>
        </w:numPr>
        <w:spacing w:after="60" w:before="60"/>
      </w:pPr>
      <w:r>
        <w:rPr>
          <w:rFonts w:ascii="Arial" w:cs="Arial" w:eastAsia="Arial" w:hAnsi="Arial"/>
          <w:sz w:val="22"/>
          <w:szCs w:val="22"/>
        </w:rPr>
        <w:t xml:space="preserve">Verification and Mediation Dashboards — public-facing record traversal and status display</w:t>
      </w:r>
    </w:p>
    <w:p>
      <w:pPr>
        <w:pStyle w:val="ListParagraph"/>
        <w:numPr>
          <w:ilvl w:val="0"/>
          <w:numId w:val="3"/>
        </w:numPr>
        <w:spacing w:after="60" w:before="60"/>
      </w:pPr>
      <w:r>
        <w:rPr>
          <w:rFonts w:ascii="Arial" w:cs="Arial" w:eastAsia="Arial" w:hAnsi="Arial"/>
          <w:sz w:val="22"/>
          <w:szCs w:val="22"/>
        </w:rPr>
        <w:t xml:space="preserve">UPU Mailing Integration — scan-before-send workflow with reference number embedding</w:t>
      </w:r>
    </w:p>
    <w:p>
      <w:pPr>
        <w:pStyle w:val="Heading2"/>
        <w:spacing w:after="160" w:before="320"/>
      </w:pPr>
      <w:r>
        <w:rPr>
          <w:rFonts w:ascii="Arial" w:cs="Arial" w:eastAsia="Arial" w:hAnsi="Arial"/>
          <w:b/>
          <w:bCs/>
          <w:color w:val="2E75B6"/>
          <w:sz w:val="28"/>
          <w:szCs w:val="28"/>
        </w:rPr>
        <w:t xml:space="preserve">7.2  What DOSD Requires of Participants</w:t>
      </w:r>
    </w:p>
    <w:p>
      <w:pPr>
        <w:spacing w:after="100" w:before="100"/>
      </w:pPr>
      <w:r>
        <w:rPr>
          <w:rFonts w:ascii="Arial" w:cs="Arial" w:eastAsia="Arial" w:hAnsi="Arial"/>
          <w:sz w:val="22"/>
          <w:szCs w:val="22"/>
        </w:rPr>
        <w:t xml:space="preserve">DOSD asks only one thing of every participant:</w:t>
      </w:r>
    </w:p>
    <w:p>
      <w:pPr>
        <w:pBdr>
          <w:left w:val="single" w:color="C8A951" w:sz="12" w:space="8"/>
        </w:pBdr>
        <w:spacing w:after="160" w:before="160"/>
        <w:ind w:left="720" w:right="720"/>
      </w:pPr>
      <w:r>
        <w:rPr>
          <w:rFonts w:ascii="Georgia" w:cs="Georgia" w:eastAsia="Georgia" w:hAnsi="Georgia"/>
          <w:i/>
          <w:iCs/>
          <w:color w:val="333333"/>
          <w:sz w:val="22"/>
          <w:szCs w:val="22"/>
        </w:rPr>
        <w:t xml:space="preserve">Declare which standard you operate under — and let the record show it.</w:t>
      </w:r>
    </w:p>
    <w:p>
      <w:pPr>
        <w:spacing w:after="100" w:before="100"/>
      </w:pPr>
      <w:r>
        <w:rPr>
          <w:rFonts w:ascii="Arial" w:cs="Arial" w:eastAsia="Arial" w:hAnsi="Arial"/>
          <w:sz w:val="22"/>
          <w:szCs w:val="22"/>
        </w:rPr>
        <w:t xml:space="preserve">All other mechanics of the system flow from that single act of declaration.</w:t>
      </w:r>
    </w:p>
    <w:p>
      <w:r>
        <w:t xml:space="preserve"/>
      </w:r>
    </w:p>
    <w:p>
      <w:pPr>
        <w:pStyle w:val="Heading1"/>
        <w:pBdr>
          <w:bottom w:val="single" w:color="2E75B6" w:sz="8" w:space="4"/>
        </w:pBdr>
        <w:spacing w:after="200" w:before="400"/>
      </w:pPr>
      <w:r>
        <w:rPr>
          <w:rFonts w:ascii="Arial" w:cs="Arial" w:eastAsia="Arial" w:hAnsi="Arial"/>
          <w:b/>
          <w:bCs/>
          <w:color w:val="1F4E79"/>
          <w:sz w:val="36"/>
          <w:szCs w:val="36"/>
        </w:rPr>
        <w:t xml:space="preserve">Part VIII: The Social Contract Declaration</w:t>
      </w:r>
    </w:p>
    <w:p>
      <w:pPr>
        <w:spacing w:after="100" w:before="100"/>
      </w:pPr>
      <w:r>
        <w:rPr>
          <w:rFonts w:ascii="Arial" w:cs="Arial" w:eastAsia="Arial" w:hAnsi="Arial"/>
          <w:sz w:val="22"/>
          <w:szCs w:val="22"/>
        </w:rPr>
        <w:t xml:space="preserve">The following declaration is the foundation of DOSD participation. It is published, signed, hashed, and delivered through the dual-track system. By joining the DOSD linktree chain, a participant simultaneously:</w:t>
      </w:r>
    </w:p>
    <w:p>
      <w:pPr>
        <w:pStyle w:val="ListParagraph"/>
        <w:numPr>
          <w:ilvl w:val="0"/>
          <w:numId w:val="2"/>
        </w:numPr>
        <w:spacing w:after="60" w:before="60"/>
      </w:pPr>
      <w:r>
        <w:rPr>
          <w:rFonts w:ascii="Arial" w:cs="Arial" w:eastAsia="Arial" w:hAnsi="Arial"/>
          <w:sz w:val="22"/>
          <w:szCs w:val="22"/>
        </w:rPr>
        <w:t xml:space="preserve">Receives the chain of truth</w:t>
      </w:r>
    </w:p>
    <w:p>
      <w:pPr>
        <w:pStyle w:val="ListParagraph"/>
        <w:numPr>
          <w:ilvl w:val="0"/>
          <w:numId w:val="2"/>
        </w:numPr>
        <w:spacing w:after="60" w:before="60"/>
      </w:pPr>
      <w:r>
        <w:rPr>
          <w:rFonts w:ascii="Arial" w:cs="Arial" w:eastAsia="Arial" w:hAnsi="Arial"/>
          <w:sz w:val="22"/>
          <w:szCs w:val="22"/>
        </w:rPr>
        <w:t xml:space="preserve">Affirms reason to know of its contents</w:t>
      </w:r>
    </w:p>
    <w:p>
      <w:pPr>
        <w:pStyle w:val="ListParagraph"/>
        <w:numPr>
          <w:ilvl w:val="0"/>
          <w:numId w:val="2"/>
        </w:numPr>
        <w:spacing w:after="60" w:before="60"/>
      </w:pPr>
      <w:r>
        <w:rPr>
          <w:rFonts w:ascii="Arial" w:cs="Arial" w:eastAsia="Arial" w:hAnsi="Arial"/>
          <w:sz w:val="22"/>
          <w:szCs w:val="22"/>
        </w:rPr>
        <w:t xml:space="preserve">Declares their own standing within it</w:t>
      </w:r>
    </w:p>
    <w:p>
      <w:pPr>
        <w:pStyle w:val="ListParagraph"/>
        <w:numPr>
          <w:ilvl w:val="0"/>
          <w:numId w:val="2"/>
        </w:numPr>
        <w:spacing w:after="60" w:before="60"/>
      </w:pPr>
      <w:r>
        <w:rPr>
          <w:rFonts w:ascii="Arial" w:cs="Arial" w:eastAsia="Arial" w:hAnsi="Arial"/>
          <w:sz w:val="22"/>
          <w:szCs w:val="22"/>
        </w:rPr>
        <w:t xml:space="preserve">Extends the chain forward to those they notify</w:t>
      </w:r>
    </w:p>
    <w:p>
      <w:pPr>
        <w:pStyle w:val="ListParagraph"/>
        <w:numPr>
          <w:ilvl w:val="0"/>
          <w:numId w:val="2"/>
        </w:numPr>
        <w:spacing w:after="60" w:before="60"/>
      </w:pPr>
      <w:r>
        <w:rPr>
          <w:rFonts w:ascii="Arial" w:cs="Arial" w:eastAsia="Arial" w:hAnsi="Arial"/>
          <w:sz w:val="22"/>
          <w:szCs w:val="22"/>
        </w:rPr>
        <w:t xml:space="preserve">Accepts the Prudent Man standard for their own declarations</w:t>
      </w:r>
    </w:p>
    <w:p>
      <w:r>
        <w:t xml:space="preserve"/>
      </w:r>
    </w:p>
    <w:p>
      <w:pPr>
        <w:pBdr>
          <w:top w:val="single" w:color="C8A951" w:sz="6" w:space="8"/>
          <w:bottom w:val="single" w:color="C8A951" w:sz="6" w:space="8"/>
          <w:left w:val="single" w:color="C8A951" w:sz="6" w:space="8"/>
          <w:right w:val="single" w:color="C8A951" w:sz="6" w:space="8"/>
        </w:pBdr>
        <w:spacing w:after="240" w:before="240"/>
        <w:ind w:left="560" w:right="560"/>
        <w:jc w:val="center"/>
      </w:pPr>
      <w:r>
        <w:rPr>
          <w:rFonts w:ascii="Arial" w:cs="Arial" w:eastAsia="Arial" w:hAnsi="Arial"/>
          <w:b/>
          <w:bCs/>
          <w:color w:val="1F4E79"/>
          <w:sz w:val="26"/>
          <w:szCs w:val="26"/>
        </w:rPr>
        <w:t xml:space="preserve">THE DOSD SOCIAL CONTRACT DECLARATION</w:t>
      </w:r>
    </w:p>
    <w:p>
      <w:pPr>
        <w:pBdr>
          <w:left w:val="single" w:color="C8A951" w:sz="12" w:space="8"/>
        </w:pBdr>
        <w:spacing w:after="160" w:before="160"/>
        <w:ind w:left="720" w:right="720"/>
      </w:pPr>
      <w:r>
        <w:rPr>
          <w:rFonts w:ascii="Georgia" w:cs="Georgia" w:eastAsia="Georgia" w:hAnsi="Georgia"/>
          <w:i/>
          <w:iCs/>
          <w:color w:val="333333"/>
          <w:sz w:val="22"/>
          <w:szCs w:val="22"/>
        </w:rPr>
        <w:t xml:space="preserve">I enter this framework voluntarily, under the Standard of the Prudent Man — in truth, full disclosure, and good faith. I understand that my declarations are made on the record, under penalty of perjury, and that my silence is as binding as my words. I raise the white flag in peace, and I commit to coming to the table when it is raised for me.</w:t>
      </w:r>
    </w:p>
    <w:p>
      <w:pPr>
        <w:pBdr>
          <w:left w:val="single" w:color="C8A951" w:sz="12" w:space="8"/>
        </w:pBdr>
        <w:spacing w:after="160" w:before="160"/>
        <w:ind w:left="720" w:right="720"/>
      </w:pPr>
      <w:r>
        <w:rPr>
          <w:rFonts w:ascii="Georgia" w:cs="Georgia" w:eastAsia="Georgia" w:hAnsi="Georgia"/>
          <w:i/>
          <w:iCs/>
          <w:color w:val="333333"/>
          <w:sz w:val="22"/>
          <w:szCs w:val="22"/>
        </w:rPr>
        <w:t xml:space="preserve">I acknowledge that by joining this chain of truth, I have been given reason to know of its contents. I declare that I operate under the standard of truth, accountability, and peaceful resolution — not under the standard of the world that wishes to be deceived.</w:t>
      </w:r>
    </w:p>
    <w:p>
      <w:pPr>
        <w:pBdr>
          <w:left w:val="single" w:color="C8A951" w:sz="12" w:space="8"/>
        </w:pBdr>
        <w:spacing w:after="160" w:before="160"/>
        <w:ind w:left="720" w:right="720"/>
      </w:pPr>
      <w:r>
        <w:rPr>
          <w:rFonts w:ascii="Georgia" w:cs="Georgia" w:eastAsia="Georgia" w:hAnsi="Georgia"/>
          <w:i/>
          <w:iCs/>
          <w:color w:val="333333"/>
          <w:sz w:val="22"/>
          <w:szCs w:val="22"/>
        </w:rPr>
        <w:t xml:space="preserve">The peace table is always open. The record is always public. Truth is always sovereign.</w:t>
      </w:r>
    </w:p>
    <w:p>
      <w:r>
        <w:t xml:space="preserve"/>
      </w:r>
    </w:p>
    <w:p>
      <w:pPr>
        <w:pStyle w:val="Heading1"/>
        <w:pBdr>
          <w:bottom w:val="single" w:color="2E75B6" w:sz="8" w:space="4"/>
        </w:pBdr>
        <w:spacing w:after="200" w:before="400"/>
      </w:pPr>
      <w:r>
        <w:rPr>
          <w:rFonts w:ascii="Arial" w:cs="Arial" w:eastAsia="Arial" w:hAnsi="Arial"/>
          <w:b/>
          <w:bCs/>
          <w:color w:val="1F4E79"/>
          <w:sz w:val="36"/>
          <w:szCs w:val="36"/>
        </w:rPr>
        <w:t xml:space="preserve">Conclusion</w:t>
      </w:r>
    </w:p>
    <w:p>
      <w:pPr>
        <w:spacing w:after="100" w:before="100"/>
      </w:pPr>
      <w:r>
        <w:rPr>
          <w:rFonts w:ascii="Arial" w:cs="Arial" w:eastAsia="Arial" w:hAnsi="Arial"/>
          <w:sz w:val="22"/>
          <w:szCs w:val="22"/>
        </w:rPr>
        <w:t xml:space="preserve">DOSD is evolving toward a globally federated peaceful accountability and communication fabric. Its foundation is ancient — the maxims of commercial law, the standard of the Prudent Man, the sovereignty of truth. Its mechanism is modern — DNS discovery, cryptographic hashing, federated relay, and UPU-affirmed physical delivery.</w:t>
      </w:r>
    </w:p>
    <w:p>
      <w:pPr>
        <w:spacing w:after="100" w:before="100"/>
      </w:pPr>
      <w:r>
        <w:rPr>
          <w:rFonts w:ascii="Arial" w:cs="Arial" w:eastAsia="Arial" w:hAnsi="Arial"/>
          <w:sz w:val="22"/>
          <w:szCs w:val="22"/>
        </w:rPr>
        <w:t xml:space="preserve">The deeper power of DOSD is that it forces a visible fork in the road. Every party either:</w:t>
      </w:r>
    </w:p>
    <w:p>
      <w:pPr>
        <w:pStyle w:val="ListParagraph"/>
        <w:numPr>
          <w:ilvl w:val="0"/>
          <w:numId w:val="2"/>
        </w:numPr>
        <w:spacing w:after="60" w:before="60"/>
      </w:pPr>
      <w:r>
        <w:rPr>
          <w:rFonts w:ascii="Arial" w:cs="Arial" w:eastAsia="Arial" w:hAnsi="Arial"/>
          <w:sz w:val="22"/>
          <w:szCs w:val="22"/>
        </w:rPr>
        <w:t xml:space="preserve">Declares themselves under the Prudent Man standard — truth, accountability, good faith, peaceful resolution</w:t>
      </w:r>
    </w:p>
    <w:p>
      <w:pPr>
        <w:pStyle w:val="ListParagraph"/>
        <w:numPr>
          <w:ilvl w:val="0"/>
          <w:numId w:val="2"/>
        </w:numPr>
        <w:spacing w:after="60" w:before="60"/>
      </w:pPr>
      <w:r>
        <w:rPr>
          <w:rFonts w:ascii="Arial" w:cs="Arial" w:eastAsia="Arial" w:hAnsi="Arial"/>
          <w:sz w:val="22"/>
          <w:szCs w:val="22"/>
        </w:rPr>
        <w:t xml:space="preserve">Reveals by their conduct that they operate under mundus vult decipi</w:t>
      </w:r>
    </w:p>
    <w:p>
      <w:pPr>
        <w:spacing w:after="100" w:before="100"/>
      </w:pPr>
      <w:r>
        <w:rPr>
          <w:rFonts w:ascii="Arial" w:cs="Arial" w:eastAsia="Arial" w:hAnsi="Arial"/>
          <w:sz w:val="22"/>
          <w:szCs w:val="22"/>
        </w:rPr>
        <w:t xml:space="preserve">Most institutions have never had to make that choice publicly. DOSD makes it undeniable. The record speaks. The chain is open. The table is set.</w:t>
      </w:r>
    </w:p>
    <w:p>
      <w:r>
        <w:t xml:space="preserve"/>
      </w:r>
    </w:p>
    <w:p>
      <w:pPr>
        <w:pBdr>
          <w:left w:val="single" w:color="C8A951" w:sz="12" w:space="8"/>
        </w:pBdr>
        <w:spacing w:after="160" w:before="160"/>
        <w:ind w:left="720" w:right="720"/>
      </w:pPr>
      <w:r>
        <w:rPr>
          <w:rFonts w:ascii="Georgia" w:cs="Georgia" w:eastAsia="Georgia" w:hAnsi="Georgia"/>
          <w:i/>
          <w:iCs/>
          <w:color w:val="333333"/>
          <w:sz w:val="22"/>
          <w:szCs w:val="22"/>
        </w:rPr>
        <w:t xml:space="preserve">DOSD escalation is notice, not aggression. The white flag is an invitation, not a surrender. Truth emerges through open publication, verification, signatures, evidence review, mediation, and public accountability. The peace table is always open.</w:t>
      </w:r>
    </w:p>
    <w:p>
      <w:r>
        <w:t xml:space="preserve"/>
      </w:r>
    </w:p>
    <w:p>
      <w:r>
        <w:t xml:space="preserve"/>
      </w:r>
    </w:p>
    <w:p>
      <w:pPr>
        <w:spacing w:after="100" w:before="200"/>
        <w:jc w:val="center"/>
      </w:pPr>
      <w:r>
        <w:rPr>
          <w:rFonts w:ascii="Georgia" w:cs="Georgia" w:eastAsia="Georgia" w:hAnsi="Georgia"/>
          <w:i/>
          <w:iCs/>
          <w:color w:val="888888"/>
          <w:sz w:val="20"/>
          <w:szCs w:val="20"/>
        </w:rPr>
        <w:t xml:space="preserve">— End of DOSD Community Review Draft v3 —</w:t>
      </w:r>
    </w:p>
    <w:p>
      <w:pPr>
        <w:jc w:val="center"/>
      </w:pPr>
      <w:r>
        <w:rPr>
          <w:rFonts w:ascii="Georgia" w:cs="Georgia" w:eastAsia="Georgia" w:hAnsi="Georgia"/>
          <w:i/>
          <w:iCs/>
          <w:color w:val="AAAAAA"/>
          <w:sz w:val="18"/>
          <w:szCs w:val="18"/>
        </w:rPr>
        <w:t xml:space="preserve">Open for public review, corroboration, and federation</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2E75B6" w:sz="4" w:space="4"/>
      </w:pBdr>
      <w:tabs>
        <w:tab w:val="right" w:pos="9026"/>
      </w:tabs>
    </w:pPr>
    <w:r>
      <w:rPr>
        <w:rFonts w:ascii="Arial" w:cs="Arial" w:eastAsia="Arial" w:hAnsi="Arial"/>
        <w:color w:val="666666"/>
        <w:sz w:val="18"/>
        <w:szCs w:val="18"/>
      </w:rPr>
      <w:t xml:space="preserve">DOSD Community Review Draft v3  |  </w:t>
    </w:r>
    <w:r>
      <w:rPr>
        <w:rFonts w:ascii="Arial" w:cs="Arial" w:eastAsia="Arial" w:hAnsi="Arial"/>
        <w:color w:val="666666"/>
        <w:sz w:val="18"/>
        <w:szCs w:val="18"/>
      </w:rPr>
      <w:t xml:space="preserve">Page </w:t>
    </w:r>
    <w:fldSimple w:instr="PAGE"/>
    <w:r>
      <w:rPr>
        <w:rFonts w:ascii="Arial" w:cs="Arial" w:eastAsia="Arial" w:hAnsi="Arial"/>
        <w:i/>
        <w:iCs/>
        <w:color w:val="888888"/>
        <w:sz w:val="18"/>
        <w:szCs w:val="18"/>
      </w:rPr>
      <w:t xml:space="preserve">	The Peace Table Is Always Open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08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400"/>
      <w:outlineLvl w:val="0"/>
    </w:pPr>
    <w:rPr>
      <w:rFonts w:ascii="Arial" w:cs="Arial" w:eastAsia="Arial" w:hAnsi="Arial"/>
      <w:b/>
      <w:bCs/>
      <w:color w:val="1F4E79"/>
      <w:sz w:val="36"/>
      <w:szCs w:val="36"/>
    </w:rPr>
  </w:style>
  <w:style w:type="paragraph" w:styleId="Heading2">
    <w:name w:val="Heading 2"/>
    <w:basedOn w:val="Normal"/>
    <w:next w:val="Normal"/>
    <w:qFormat/>
    <w:pPr>
      <w:spacing w:after="160" w:before="320"/>
      <w:outlineLvl w:val="1"/>
    </w:pPr>
    <w:rPr>
      <w:rFonts w:ascii="Arial" w:cs="Arial" w:eastAsia="Arial" w:hAnsi="Arial"/>
      <w:b/>
      <w:bCs/>
      <w:color w:val="2E75B6"/>
      <w:sz w:val="28"/>
      <w:szCs w:val="28"/>
    </w:rPr>
  </w:style>
  <w:style w:type="paragraph" w:styleId="Heading3">
    <w:name w:val="Heading 3"/>
    <w:basedOn w:val="Normal"/>
    <w:next w:val="Normal"/>
    <w:qFormat/>
    <w:pPr>
      <w:spacing w:after="120" w:before="240"/>
      <w:outlineLvl w:val="2"/>
    </w:pPr>
    <w:rPr>
      <w:rFonts w:ascii="Arial" w:cs="Arial" w:eastAsia="Arial" w:hAnsi="Arial"/>
      <w:b/>
      <w:bCs/>
      <w:color w:val="2F5496"/>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2026-05-24T00:46:52.971Z</dcterms:created>
  <dcterms:modified xsi:type="dcterms:W3CDTF">2026-05-24T00:46:52.971Z</dcterms:modified>
</cp:coreProperties>
</file>

<file path=docProps/custom.xml><?xml version="1.0" encoding="utf-8"?>
<Properties xmlns="http://schemas.openxmlformats.org/officeDocument/2006/custom-properties" xmlns:vt="http://schemas.openxmlformats.org/officeDocument/2006/docPropsVTypes"/>
</file>